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4C" w:rsidRPr="0010034C" w:rsidRDefault="0010034C" w:rsidP="0010034C">
      <w:pPr>
        <w:widowControl/>
        <w:jc w:val="left"/>
        <w:rPr>
          <w:rFonts w:ascii="lucida Grande" w:eastAsia="宋体" w:hAnsi="lucida Grande" w:cs="Arial"/>
          <w:color w:val="000000"/>
          <w:kern w:val="0"/>
          <w:szCs w:val="21"/>
        </w:rPr>
      </w:pPr>
      <w:r w:rsidRPr="0010034C">
        <w:rPr>
          <w:rFonts w:ascii="lucida Grande" w:eastAsia="宋体" w:hAnsi="lucida Grande" w:cs="Arial"/>
          <w:b/>
          <w:color w:val="000000"/>
          <w:kern w:val="0"/>
          <w:szCs w:val="21"/>
        </w:rPr>
        <w:t>项目名称</w:t>
      </w:r>
      <w:r w:rsidRPr="0010034C">
        <w:rPr>
          <w:rFonts w:ascii="lucida Grande" w:eastAsia="宋体" w:hAnsi="lucida Grande" w:cs="Arial"/>
          <w:color w:val="000000"/>
          <w:kern w:val="0"/>
          <w:szCs w:val="21"/>
        </w:rPr>
        <w:t>：晚期鼻咽癌规范化治疗的建立，推广和应用</w:t>
      </w:r>
    </w:p>
    <w:p w:rsidR="0010034C" w:rsidRPr="0010034C" w:rsidRDefault="0010034C" w:rsidP="0010034C">
      <w:pPr>
        <w:widowControl/>
        <w:jc w:val="left"/>
        <w:rPr>
          <w:rFonts w:ascii="lucida Grande" w:eastAsia="宋体" w:hAnsi="lucida Grande" w:cs="Arial"/>
          <w:color w:val="000000"/>
          <w:kern w:val="0"/>
          <w:szCs w:val="21"/>
        </w:rPr>
      </w:pPr>
      <w:r w:rsidRPr="0010034C">
        <w:rPr>
          <w:rFonts w:ascii="lucida Grande" w:eastAsia="宋体" w:hAnsi="lucida Grande" w:cs="Arial"/>
          <w:b/>
          <w:color w:val="000000"/>
          <w:kern w:val="0"/>
          <w:szCs w:val="21"/>
        </w:rPr>
        <w:t>完成单位：</w:t>
      </w:r>
      <w:r w:rsidRPr="0010034C">
        <w:rPr>
          <w:rFonts w:ascii="lucida Grande" w:eastAsia="宋体" w:hAnsi="lucida Grande" w:cs="Arial"/>
          <w:color w:val="000000"/>
          <w:kern w:val="0"/>
          <w:szCs w:val="21"/>
        </w:rPr>
        <w:t>中山大学肿瘤防治中心</w:t>
      </w:r>
    </w:p>
    <w:p w:rsidR="0010034C" w:rsidRPr="0010034C" w:rsidRDefault="0010034C" w:rsidP="0010034C">
      <w:pPr>
        <w:widowControl/>
        <w:jc w:val="left"/>
        <w:rPr>
          <w:rFonts w:ascii="lucida Grande" w:eastAsia="宋体" w:hAnsi="lucida Grande" w:cs="Arial"/>
          <w:color w:val="000000"/>
          <w:kern w:val="0"/>
          <w:szCs w:val="21"/>
        </w:rPr>
      </w:pPr>
      <w:bookmarkStart w:id="0" w:name="_GoBack"/>
      <w:r w:rsidRPr="0010034C">
        <w:rPr>
          <w:rFonts w:ascii="lucida Grande" w:eastAsia="宋体" w:hAnsi="lucida Grande" w:cs="Arial"/>
          <w:b/>
          <w:color w:val="000000"/>
          <w:kern w:val="0"/>
          <w:szCs w:val="21"/>
        </w:rPr>
        <w:t>完成人：</w:t>
      </w:r>
      <w:bookmarkEnd w:id="0"/>
      <w:r w:rsidRPr="0010034C">
        <w:rPr>
          <w:rFonts w:ascii="lucida Grande" w:eastAsia="宋体" w:hAnsi="lucida Grande" w:cs="Arial"/>
          <w:color w:val="000000"/>
          <w:kern w:val="0"/>
          <w:szCs w:val="21"/>
        </w:rPr>
        <w:t>张力、钱朝南、黄岩、胡朝苏、黄培钰、洪少东、彭培建、林勤、孙蕊、方文峰、杨云鹏、赵洪云、周婷、马宇翔、赵珅</w:t>
      </w:r>
    </w:p>
    <w:p w:rsidR="0010034C" w:rsidRPr="0010034C" w:rsidRDefault="0010034C" w:rsidP="0010034C">
      <w:pPr>
        <w:widowControl/>
        <w:jc w:val="left"/>
        <w:rPr>
          <w:rFonts w:ascii="lucida Grande" w:eastAsia="宋体" w:hAnsi="lucida Grande" w:cs="Arial"/>
          <w:color w:val="000000"/>
          <w:kern w:val="0"/>
          <w:szCs w:val="21"/>
        </w:rPr>
      </w:pPr>
      <w:r w:rsidRPr="0010034C">
        <w:rPr>
          <w:rFonts w:ascii="lucida Grande" w:eastAsia="宋体" w:hAnsi="lucida Grande" w:cs="Arial"/>
          <w:color w:val="000000"/>
          <w:kern w:val="0"/>
          <w:szCs w:val="21"/>
        </w:rPr>
        <w:t>项目简介：</w:t>
      </w:r>
      <w:r w:rsidRPr="0010034C">
        <w:rPr>
          <w:rFonts w:ascii="lucida Grande" w:eastAsia="宋体" w:hAnsi="lucida Grande" w:cs="Arial"/>
          <w:color w:val="000000"/>
          <w:kern w:val="0"/>
          <w:szCs w:val="21"/>
        </w:rPr>
        <w:t xml:space="preserve"> </w:t>
      </w:r>
    </w:p>
    <w:p w:rsidR="0010034C" w:rsidRPr="0010034C" w:rsidRDefault="0010034C" w:rsidP="0010034C">
      <w:pPr>
        <w:widowControl/>
        <w:spacing w:before="100" w:beforeAutospacing="1" w:after="100" w:afterAutospacing="1" w:line="360" w:lineRule="exact"/>
        <w:jc w:val="left"/>
        <w:rPr>
          <w:rFonts w:ascii="lucida Grande" w:eastAsia="宋体" w:hAnsi="lucida Grande" w:cs="Arial"/>
          <w:color w:val="000000"/>
          <w:kern w:val="0"/>
          <w:szCs w:val="21"/>
        </w:rPr>
      </w:pPr>
      <w:r w:rsidRPr="0010034C">
        <w:rPr>
          <w:rFonts w:ascii="宋体" w:eastAsia="宋体" w:hAnsi="宋体" w:cs="Arial" w:hint="eastAsia"/>
          <w:color w:val="000000"/>
          <w:kern w:val="0"/>
          <w:sz w:val="24"/>
          <w:szCs w:val="24"/>
        </w:rPr>
        <w:t>  鼻咽癌是高发于我国南方地区的恶性肿瘤，具有起病隐匿、转移倾向高的特点。随着放疗技术和综合治疗手段的提升，早期及局部晚期鼻咽癌的生存期已得到明显改善。但多数接受根治性放疗的鼻咽癌患者最终出现局部复发和</w:t>
      </w:r>
      <w:r w:rsidRPr="0010034C">
        <w:rPr>
          <w:rFonts w:ascii="lucida Grande" w:eastAsia="宋体" w:hAnsi="lucida Grande" w:cs="Arial"/>
          <w:color w:val="000000"/>
          <w:kern w:val="0"/>
          <w:sz w:val="24"/>
          <w:szCs w:val="24"/>
        </w:rPr>
        <w:t>/</w:t>
      </w:r>
      <w:r w:rsidRPr="0010034C">
        <w:rPr>
          <w:rFonts w:ascii="宋体" w:eastAsia="宋体" w:hAnsi="宋体" w:cs="Arial" w:hint="eastAsia"/>
          <w:color w:val="000000"/>
          <w:kern w:val="0"/>
          <w:sz w:val="24"/>
          <w:szCs w:val="24"/>
        </w:rPr>
        <w:t>或远处转移。很多患者确诊时已是局部晚期或出现远处转移。晚期鼻咽癌的预后非常差，长期缺乏标准及新型治疗手段，存在巨大的临床未被满足的需求。建立和推广晚期鼻咽癌的治疗规范，同时探索新型治疗靶点和药物，具有重大的临床治疗价值及社会经济意义。</w:t>
      </w:r>
    </w:p>
    <w:p w:rsidR="0010034C" w:rsidRPr="0010034C" w:rsidRDefault="0010034C" w:rsidP="0010034C">
      <w:pPr>
        <w:widowControl/>
        <w:spacing w:before="100" w:beforeAutospacing="1" w:after="100" w:afterAutospacing="1" w:line="360" w:lineRule="exact"/>
        <w:jc w:val="left"/>
        <w:rPr>
          <w:rFonts w:ascii="lucida Grande" w:eastAsia="宋体" w:hAnsi="lucida Grande" w:cs="Arial"/>
          <w:color w:val="000000"/>
          <w:kern w:val="0"/>
          <w:szCs w:val="21"/>
        </w:rPr>
      </w:pPr>
      <w:r w:rsidRPr="0010034C">
        <w:rPr>
          <w:rFonts w:ascii="lucida Grande" w:eastAsia="宋体" w:hAnsi="lucida Grande" w:cs="Arial"/>
          <w:color w:val="000000"/>
          <w:kern w:val="0"/>
          <w:sz w:val="24"/>
          <w:szCs w:val="24"/>
        </w:rPr>
        <w:t xml:space="preserve">    </w:t>
      </w:r>
      <w:r w:rsidRPr="0010034C">
        <w:rPr>
          <w:rFonts w:ascii="宋体" w:eastAsia="宋体" w:hAnsi="宋体" w:cs="Arial" w:hint="eastAsia"/>
          <w:color w:val="000000"/>
          <w:kern w:val="0"/>
          <w:sz w:val="24"/>
          <w:szCs w:val="24"/>
        </w:rPr>
        <w:t>本项目在</w:t>
      </w:r>
      <w:r w:rsidRPr="0010034C">
        <w:rPr>
          <w:rFonts w:ascii="lucida Grande" w:eastAsia="宋体" w:hAnsi="lucida Grande" w:cs="Arial"/>
          <w:color w:val="000000"/>
          <w:kern w:val="0"/>
          <w:sz w:val="24"/>
          <w:szCs w:val="24"/>
        </w:rPr>
        <w:t>863</w:t>
      </w:r>
      <w:r w:rsidRPr="0010034C">
        <w:rPr>
          <w:rFonts w:ascii="宋体" w:eastAsia="宋体" w:hAnsi="宋体" w:cs="Arial" w:hint="eastAsia"/>
          <w:color w:val="000000"/>
          <w:kern w:val="0"/>
          <w:sz w:val="24"/>
          <w:szCs w:val="24"/>
        </w:rPr>
        <w:t>重大专项计划——鼻咽癌分子分型和个体化诊疗技术子课题（</w:t>
      </w:r>
      <w:r w:rsidRPr="0010034C">
        <w:rPr>
          <w:rFonts w:ascii="lucida Grande" w:eastAsia="宋体" w:hAnsi="lucida Grande" w:cs="Arial"/>
          <w:color w:val="000000"/>
          <w:kern w:val="0"/>
          <w:sz w:val="24"/>
          <w:szCs w:val="24"/>
        </w:rPr>
        <w:t>2012AA02A501</w:t>
      </w:r>
      <w:r w:rsidRPr="0010034C">
        <w:rPr>
          <w:rFonts w:ascii="宋体" w:eastAsia="宋体" w:hAnsi="宋体" w:cs="Arial" w:hint="eastAsia"/>
          <w:color w:val="000000"/>
          <w:kern w:val="0"/>
          <w:sz w:val="24"/>
          <w:szCs w:val="24"/>
        </w:rPr>
        <w:t>）等项目的资助下，长期开展鼻咽癌临床研究及转化研究，在晚期鼻咽癌的化学治疗、免疫治疗和</w:t>
      </w:r>
      <w:proofErr w:type="gramStart"/>
      <w:r w:rsidRPr="0010034C">
        <w:rPr>
          <w:rFonts w:ascii="宋体" w:eastAsia="宋体" w:hAnsi="宋体" w:cs="Arial" w:hint="eastAsia"/>
          <w:color w:val="000000"/>
          <w:kern w:val="0"/>
          <w:sz w:val="24"/>
          <w:szCs w:val="24"/>
        </w:rPr>
        <w:t>靶向</w:t>
      </w:r>
      <w:proofErr w:type="gramEnd"/>
      <w:r w:rsidRPr="0010034C">
        <w:rPr>
          <w:rFonts w:ascii="宋体" w:eastAsia="宋体" w:hAnsi="宋体" w:cs="Arial" w:hint="eastAsia"/>
          <w:color w:val="000000"/>
          <w:kern w:val="0"/>
          <w:sz w:val="24"/>
          <w:szCs w:val="24"/>
        </w:rPr>
        <w:t>治疗三大关键领域进行系列研究，并在国内外推广、应用。其创新性成果如下：</w:t>
      </w:r>
      <w:r w:rsidRPr="0010034C">
        <w:rPr>
          <w:rFonts w:ascii="lucida Grande" w:eastAsia="宋体" w:hAnsi="lucida Grande" w:cs="Arial"/>
          <w:color w:val="000000"/>
          <w:kern w:val="0"/>
          <w:sz w:val="24"/>
          <w:szCs w:val="24"/>
        </w:rPr>
        <w:t>1</w:t>
      </w:r>
      <w:r w:rsidRPr="0010034C">
        <w:rPr>
          <w:rFonts w:ascii="宋体" w:eastAsia="宋体" w:hAnsi="宋体" w:cs="Arial" w:hint="eastAsia"/>
          <w:color w:val="000000"/>
          <w:kern w:val="0"/>
          <w:sz w:val="24"/>
          <w:szCs w:val="24"/>
        </w:rPr>
        <w:t>、通过开展全球首个晚期鼻咽癌领域的大型</w:t>
      </w:r>
      <w:r w:rsidRPr="0010034C">
        <w:rPr>
          <w:rFonts w:ascii="lucida Grande" w:eastAsia="宋体" w:hAnsi="lucida Grande" w:cs="Arial"/>
          <w:color w:val="000000"/>
          <w:kern w:val="0"/>
          <w:sz w:val="24"/>
          <w:szCs w:val="24"/>
        </w:rPr>
        <w:t>III</w:t>
      </w:r>
      <w:r w:rsidRPr="0010034C">
        <w:rPr>
          <w:rFonts w:ascii="宋体" w:eastAsia="宋体" w:hAnsi="宋体" w:cs="Arial" w:hint="eastAsia"/>
          <w:color w:val="000000"/>
          <w:kern w:val="0"/>
          <w:sz w:val="24"/>
          <w:szCs w:val="24"/>
        </w:rPr>
        <w:t>期临床研究，首次在全球范围内建立了晚期鼻咽癌一线治疗的标准，为提高患者生存期及生活质量提供了试验数据；系统探索了不同化疗药物用于一线治疗失败以后晚期鼻咽癌的挽救治疗，丰富我国晚期鼻咽癌内科治疗策略；首次在国内提出了氟尿嘧啶治疗晚期鼻咽癌的最佳剂量模型，为精准化疗、提高疗效并降低化疗毒性提供了研究基础；</w:t>
      </w:r>
      <w:r w:rsidRPr="0010034C">
        <w:rPr>
          <w:rFonts w:ascii="lucida Grande" w:eastAsia="宋体" w:hAnsi="lucida Grande" w:cs="Arial"/>
          <w:color w:val="000000"/>
          <w:kern w:val="0"/>
          <w:sz w:val="24"/>
          <w:szCs w:val="24"/>
        </w:rPr>
        <w:t>2</w:t>
      </w:r>
      <w:r w:rsidRPr="0010034C">
        <w:rPr>
          <w:rFonts w:ascii="宋体" w:eastAsia="宋体" w:hAnsi="宋体" w:cs="Arial" w:hint="eastAsia"/>
          <w:color w:val="000000"/>
          <w:kern w:val="0"/>
          <w:sz w:val="24"/>
          <w:szCs w:val="24"/>
        </w:rPr>
        <w:t>、开展迄今为止样本量最大的免疫检查点抑制剂治疗晚期鼻咽癌的临床研究，首次开展免疫治疗联合化疗一线治疗晚期鼻咽癌的研究，研究结果提示免疫治疗是鼻咽癌低毒高效的治疗方案，彰显了我国在鼻咽癌免疫治疗领域的领先地位；</w:t>
      </w:r>
      <w:r w:rsidRPr="0010034C">
        <w:rPr>
          <w:rFonts w:ascii="lucida Grande" w:eastAsia="宋体" w:hAnsi="lucida Grande" w:cs="Arial"/>
          <w:color w:val="000000"/>
          <w:kern w:val="0"/>
          <w:sz w:val="24"/>
          <w:szCs w:val="24"/>
        </w:rPr>
        <w:t>3</w:t>
      </w:r>
      <w:r w:rsidRPr="0010034C">
        <w:rPr>
          <w:rFonts w:ascii="宋体" w:eastAsia="宋体" w:hAnsi="宋体" w:cs="Arial" w:hint="eastAsia"/>
          <w:color w:val="000000"/>
          <w:kern w:val="0"/>
          <w:sz w:val="24"/>
          <w:szCs w:val="24"/>
        </w:rPr>
        <w:t>、探索鼻咽癌免疫微环境特征、免疫逃逸机制和热点基因突变谱，首次明确鼻咽癌的免疫分型和重要预后分子及其作用机理，发现与鼻咽癌患者免疫治疗应答与耐药相关的生物标志物，为免疫治疗应用于晚期鼻咽癌提供理论基础；同时积极开展鼻咽癌靶</w:t>
      </w:r>
      <w:proofErr w:type="gramStart"/>
      <w:r w:rsidRPr="0010034C">
        <w:rPr>
          <w:rFonts w:ascii="宋体" w:eastAsia="宋体" w:hAnsi="宋体" w:cs="Arial" w:hint="eastAsia"/>
          <w:color w:val="000000"/>
          <w:kern w:val="0"/>
          <w:sz w:val="24"/>
          <w:szCs w:val="24"/>
        </w:rPr>
        <w:t>向治疗</w:t>
      </w:r>
      <w:proofErr w:type="gramEnd"/>
      <w:r w:rsidRPr="0010034C">
        <w:rPr>
          <w:rFonts w:ascii="宋体" w:eastAsia="宋体" w:hAnsi="宋体" w:cs="Arial" w:hint="eastAsia"/>
          <w:color w:val="000000"/>
          <w:kern w:val="0"/>
          <w:sz w:val="24"/>
          <w:szCs w:val="24"/>
        </w:rPr>
        <w:t>临床前研究，针对鼻咽癌发生发展的关键信号通路和分子，探索不同靶</w:t>
      </w:r>
      <w:proofErr w:type="gramStart"/>
      <w:r w:rsidRPr="0010034C">
        <w:rPr>
          <w:rFonts w:ascii="宋体" w:eastAsia="宋体" w:hAnsi="宋体" w:cs="Arial" w:hint="eastAsia"/>
          <w:color w:val="000000"/>
          <w:kern w:val="0"/>
          <w:sz w:val="24"/>
          <w:szCs w:val="24"/>
        </w:rPr>
        <w:t>向药物</w:t>
      </w:r>
      <w:proofErr w:type="gramEnd"/>
      <w:r w:rsidRPr="0010034C">
        <w:rPr>
          <w:rFonts w:ascii="宋体" w:eastAsia="宋体" w:hAnsi="宋体" w:cs="Arial" w:hint="eastAsia"/>
          <w:color w:val="000000"/>
          <w:kern w:val="0"/>
          <w:sz w:val="24"/>
          <w:szCs w:val="24"/>
        </w:rPr>
        <w:t>治疗鼻咽癌的潜在价值，为鼻咽癌分子靶</w:t>
      </w:r>
      <w:proofErr w:type="gramStart"/>
      <w:r w:rsidRPr="0010034C">
        <w:rPr>
          <w:rFonts w:ascii="宋体" w:eastAsia="宋体" w:hAnsi="宋体" w:cs="Arial" w:hint="eastAsia"/>
          <w:color w:val="000000"/>
          <w:kern w:val="0"/>
          <w:sz w:val="24"/>
          <w:szCs w:val="24"/>
        </w:rPr>
        <w:t>向治疗</w:t>
      </w:r>
      <w:proofErr w:type="gramEnd"/>
      <w:r w:rsidRPr="0010034C">
        <w:rPr>
          <w:rFonts w:ascii="宋体" w:eastAsia="宋体" w:hAnsi="宋体" w:cs="Arial" w:hint="eastAsia"/>
          <w:color w:val="000000"/>
          <w:kern w:val="0"/>
          <w:sz w:val="24"/>
          <w:szCs w:val="24"/>
        </w:rPr>
        <w:t>的临床应用提供实验依据。</w:t>
      </w:r>
    </w:p>
    <w:p w:rsidR="0010034C" w:rsidRPr="0010034C" w:rsidRDefault="0010034C" w:rsidP="0010034C">
      <w:pPr>
        <w:widowControl/>
        <w:jc w:val="left"/>
        <w:rPr>
          <w:rFonts w:ascii="lucida Grande" w:eastAsia="宋体" w:hAnsi="lucida Grande" w:cs="Arial"/>
          <w:color w:val="000000"/>
          <w:kern w:val="0"/>
          <w:szCs w:val="21"/>
        </w:rPr>
      </w:pPr>
      <w:r w:rsidRPr="0010034C">
        <w:rPr>
          <w:rFonts w:ascii="lucida Grande" w:eastAsia="宋体" w:hAnsi="lucida Grande" w:cs="Arial"/>
          <w:color w:val="000000"/>
          <w:kern w:val="0"/>
          <w:sz w:val="24"/>
          <w:szCs w:val="24"/>
        </w:rPr>
        <w:t xml:space="preserve">    </w:t>
      </w:r>
      <w:r w:rsidRPr="0010034C">
        <w:rPr>
          <w:rFonts w:ascii="宋体" w:eastAsia="宋体" w:hAnsi="宋体" w:cs="Arial" w:hint="eastAsia"/>
          <w:color w:val="000000"/>
          <w:sz w:val="24"/>
          <w:szCs w:val="24"/>
        </w:rPr>
        <w:t>项目共发表论文</w:t>
      </w:r>
      <w:r w:rsidRPr="0010034C">
        <w:rPr>
          <w:rFonts w:ascii="lucida Grande" w:eastAsia="宋体" w:hAnsi="lucida Grande" w:cs="Arial"/>
          <w:color w:val="000000"/>
          <w:kern w:val="0"/>
          <w:sz w:val="24"/>
          <w:szCs w:val="24"/>
        </w:rPr>
        <w:t>120</w:t>
      </w:r>
      <w:r w:rsidRPr="0010034C">
        <w:rPr>
          <w:rFonts w:ascii="宋体" w:eastAsia="宋体" w:hAnsi="宋体" w:cs="Arial" w:hint="eastAsia"/>
          <w:color w:val="000000"/>
          <w:sz w:val="24"/>
          <w:szCs w:val="24"/>
        </w:rPr>
        <w:t>篇，其中</w:t>
      </w:r>
      <w:r w:rsidRPr="0010034C">
        <w:rPr>
          <w:rFonts w:ascii="lucida Grande" w:eastAsia="宋体" w:hAnsi="lucida Grande" w:cs="Arial"/>
          <w:color w:val="000000"/>
          <w:kern w:val="0"/>
          <w:sz w:val="24"/>
          <w:szCs w:val="24"/>
        </w:rPr>
        <w:t>SCI</w:t>
      </w:r>
      <w:r w:rsidRPr="0010034C">
        <w:rPr>
          <w:rFonts w:ascii="宋体" w:eastAsia="宋体" w:hAnsi="宋体" w:cs="Arial" w:hint="eastAsia"/>
          <w:color w:val="000000"/>
          <w:sz w:val="24"/>
          <w:szCs w:val="24"/>
        </w:rPr>
        <w:t>论文</w:t>
      </w:r>
      <w:r w:rsidRPr="0010034C">
        <w:rPr>
          <w:rFonts w:ascii="lucida Grande" w:eastAsia="宋体" w:hAnsi="lucida Grande" w:cs="Arial"/>
          <w:color w:val="000000"/>
          <w:kern w:val="0"/>
          <w:sz w:val="24"/>
          <w:szCs w:val="24"/>
        </w:rPr>
        <w:t>62</w:t>
      </w:r>
      <w:r w:rsidRPr="0010034C">
        <w:rPr>
          <w:rFonts w:ascii="宋体" w:eastAsia="宋体" w:hAnsi="宋体" w:cs="Arial" w:hint="eastAsia"/>
          <w:color w:val="000000"/>
          <w:sz w:val="24"/>
          <w:szCs w:val="24"/>
        </w:rPr>
        <w:t>篇，</w:t>
      </w:r>
      <w:proofErr w:type="gramStart"/>
      <w:r w:rsidRPr="0010034C">
        <w:rPr>
          <w:rFonts w:ascii="宋体" w:eastAsia="宋体" w:hAnsi="宋体" w:cs="Arial" w:hint="eastAsia"/>
          <w:color w:val="000000"/>
          <w:sz w:val="24"/>
          <w:szCs w:val="24"/>
        </w:rPr>
        <w:t>总影响</w:t>
      </w:r>
      <w:proofErr w:type="gramEnd"/>
      <w:r w:rsidRPr="0010034C">
        <w:rPr>
          <w:rFonts w:ascii="宋体" w:eastAsia="宋体" w:hAnsi="宋体" w:cs="Arial" w:hint="eastAsia"/>
          <w:color w:val="000000"/>
          <w:sz w:val="24"/>
          <w:szCs w:val="24"/>
        </w:rPr>
        <w:t>因子</w:t>
      </w:r>
      <w:r w:rsidRPr="0010034C">
        <w:rPr>
          <w:rFonts w:ascii="lucida Grande" w:eastAsia="宋体" w:hAnsi="lucida Grande" w:cs="Arial"/>
          <w:color w:val="000000"/>
          <w:kern w:val="0"/>
          <w:sz w:val="24"/>
          <w:szCs w:val="24"/>
        </w:rPr>
        <w:t>289.197</w:t>
      </w:r>
      <w:r w:rsidRPr="0010034C">
        <w:rPr>
          <w:rFonts w:ascii="宋体" w:eastAsia="宋体" w:hAnsi="宋体" w:cs="Arial" w:hint="eastAsia"/>
          <w:color w:val="000000"/>
          <w:sz w:val="24"/>
          <w:szCs w:val="24"/>
        </w:rPr>
        <w:t>，最高单篇影响因子</w:t>
      </w:r>
      <w:r w:rsidRPr="0010034C">
        <w:rPr>
          <w:rFonts w:ascii="lucida Grande" w:eastAsia="宋体" w:hAnsi="lucida Grande" w:cs="Arial"/>
          <w:color w:val="000000"/>
          <w:kern w:val="0"/>
          <w:sz w:val="24"/>
          <w:szCs w:val="24"/>
        </w:rPr>
        <w:t>47.831</w:t>
      </w:r>
      <w:r w:rsidRPr="0010034C">
        <w:rPr>
          <w:rFonts w:ascii="宋体" w:eastAsia="宋体" w:hAnsi="宋体" w:cs="Arial" w:hint="eastAsia"/>
          <w:color w:val="000000"/>
          <w:sz w:val="24"/>
          <w:szCs w:val="24"/>
        </w:rPr>
        <w:t>，影响因子大于</w:t>
      </w:r>
      <w:r w:rsidRPr="0010034C">
        <w:rPr>
          <w:rFonts w:ascii="lucida Grande" w:eastAsia="宋体" w:hAnsi="lucida Grande" w:cs="Arial"/>
          <w:color w:val="000000"/>
          <w:kern w:val="0"/>
          <w:sz w:val="24"/>
          <w:szCs w:val="24"/>
        </w:rPr>
        <w:t>20</w:t>
      </w:r>
      <w:r w:rsidRPr="0010034C">
        <w:rPr>
          <w:rFonts w:ascii="宋体" w:eastAsia="宋体" w:hAnsi="宋体" w:cs="Arial" w:hint="eastAsia"/>
          <w:color w:val="000000"/>
          <w:sz w:val="24"/>
          <w:szCs w:val="24"/>
        </w:rPr>
        <w:t>分</w:t>
      </w:r>
      <w:r w:rsidRPr="0010034C">
        <w:rPr>
          <w:rFonts w:ascii="lucida Grande" w:eastAsia="宋体" w:hAnsi="lucida Grande" w:cs="Arial"/>
          <w:color w:val="000000"/>
          <w:kern w:val="0"/>
          <w:sz w:val="24"/>
          <w:szCs w:val="24"/>
        </w:rPr>
        <w:t>2</w:t>
      </w:r>
      <w:r w:rsidRPr="0010034C">
        <w:rPr>
          <w:rFonts w:ascii="宋体" w:eastAsia="宋体" w:hAnsi="宋体" w:cs="Arial" w:hint="eastAsia"/>
          <w:color w:val="000000"/>
          <w:sz w:val="24"/>
          <w:szCs w:val="24"/>
        </w:rPr>
        <w:t>篇，影响因子大于</w:t>
      </w:r>
      <w:r w:rsidRPr="0010034C">
        <w:rPr>
          <w:rFonts w:ascii="lucida Grande" w:eastAsia="宋体" w:hAnsi="lucida Grande" w:cs="Arial"/>
          <w:color w:val="000000"/>
          <w:kern w:val="0"/>
          <w:sz w:val="24"/>
          <w:szCs w:val="24"/>
        </w:rPr>
        <w:t>5</w:t>
      </w:r>
      <w:r w:rsidRPr="0010034C">
        <w:rPr>
          <w:rFonts w:ascii="宋体" w:eastAsia="宋体" w:hAnsi="宋体" w:cs="Arial" w:hint="eastAsia"/>
          <w:color w:val="000000"/>
          <w:sz w:val="24"/>
          <w:szCs w:val="24"/>
        </w:rPr>
        <w:t>分</w:t>
      </w:r>
      <w:r w:rsidRPr="0010034C">
        <w:rPr>
          <w:rFonts w:ascii="lucida Grande" w:eastAsia="宋体" w:hAnsi="lucida Grande" w:cs="Arial"/>
          <w:color w:val="000000"/>
          <w:kern w:val="0"/>
          <w:sz w:val="24"/>
          <w:szCs w:val="24"/>
        </w:rPr>
        <w:t>14</w:t>
      </w:r>
      <w:r w:rsidRPr="0010034C">
        <w:rPr>
          <w:rFonts w:ascii="宋体" w:eastAsia="宋体" w:hAnsi="宋体" w:cs="Arial" w:hint="eastAsia"/>
          <w:color w:val="000000"/>
          <w:sz w:val="24"/>
          <w:szCs w:val="24"/>
        </w:rPr>
        <w:t>篇，论文共被引用</w:t>
      </w:r>
      <w:r w:rsidRPr="0010034C">
        <w:rPr>
          <w:rFonts w:ascii="lucida Grande" w:eastAsia="宋体" w:hAnsi="lucida Grande" w:cs="Arial"/>
          <w:color w:val="000000"/>
          <w:kern w:val="0"/>
          <w:sz w:val="24"/>
          <w:szCs w:val="24"/>
        </w:rPr>
        <w:t>1230</w:t>
      </w:r>
      <w:r w:rsidRPr="0010034C">
        <w:rPr>
          <w:rFonts w:ascii="宋体" w:eastAsia="宋体" w:hAnsi="宋体" w:cs="Arial" w:hint="eastAsia"/>
          <w:color w:val="000000"/>
          <w:sz w:val="24"/>
          <w:szCs w:val="24"/>
        </w:rPr>
        <w:t>次，他引</w:t>
      </w:r>
      <w:r w:rsidRPr="0010034C">
        <w:rPr>
          <w:rFonts w:ascii="lucida Grande" w:eastAsia="宋体" w:hAnsi="lucida Grande" w:cs="Arial"/>
          <w:color w:val="000000"/>
          <w:kern w:val="0"/>
          <w:sz w:val="24"/>
          <w:szCs w:val="24"/>
        </w:rPr>
        <w:t>1200</w:t>
      </w:r>
      <w:r w:rsidRPr="0010034C">
        <w:rPr>
          <w:rFonts w:ascii="宋体" w:eastAsia="宋体" w:hAnsi="宋体" w:cs="Arial" w:hint="eastAsia"/>
          <w:color w:val="000000"/>
          <w:sz w:val="24"/>
          <w:szCs w:val="24"/>
        </w:rPr>
        <w:t>次，最高引用次数</w:t>
      </w:r>
      <w:r w:rsidRPr="0010034C">
        <w:rPr>
          <w:rFonts w:ascii="lucida Grande" w:eastAsia="宋体" w:hAnsi="lucida Grande" w:cs="Arial"/>
          <w:color w:val="000000"/>
          <w:kern w:val="0"/>
          <w:sz w:val="24"/>
          <w:szCs w:val="24"/>
        </w:rPr>
        <w:t>105</w:t>
      </w:r>
      <w:r w:rsidRPr="0010034C">
        <w:rPr>
          <w:rFonts w:ascii="宋体" w:eastAsia="宋体" w:hAnsi="宋体" w:cs="Arial" w:hint="eastAsia"/>
          <w:color w:val="000000"/>
          <w:sz w:val="24"/>
          <w:szCs w:val="24"/>
        </w:rPr>
        <w:t>次。代表性论著发表于</w:t>
      </w:r>
      <w:r w:rsidRPr="0010034C">
        <w:rPr>
          <w:rFonts w:ascii="lucida Grande" w:eastAsia="宋体" w:hAnsi="lucida Grande" w:cs="Arial"/>
          <w:color w:val="000000"/>
          <w:kern w:val="0"/>
          <w:sz w:val="24"/>
          <w:szCs w:val="24"/>
        </w:rPr>
        <w:t>Lancet</w:t>
      </w:r>
      <w:r w:rsidRPr="0010034C">
        <w:rPr>
          <w:rFonts w:ascii="宋体" w:eastAsia="宋体" w:hAnsi="宋体" w:cs="Arial" w:hint="eastAsia"/>
          <w:color w:val="000000"/>
          <w:sz w:val="24"/>
          <w:szCs w:val="24"/>
        </w:rPr>
        <w:t>，</w:t>
      </w:r>
      <w:r w:rsidRPr="0010034C">
        <w:rPr>
          <w:rFonts w:ascii="lucida Grande" w:eastAsia="宋体" w:hAnsi="lucida Grande" w:cs="Arial"/>
          <w:color w:val="000000"/>
          <w:kern w:val="0"/>
          <w:sz w:val="24"/>
          <w:szCs w:val="24"/>
        </w:rPr>
        <w:t>Lancet Oncology</w:t>
      </w:r>
      <w:r w:rsidRPr="0010034C">
        <w:rPr>
          <w:rFonts w:ascii="宋体" w:eastAsia="宋体" w:hAnsi="宋体" w:cs="Arial" w:hint="eastAsia"/>
          <w:color w:val="000000"/>
          <w:sz w:val="24"/>
          <w:szCs w:val="24"/>
        </w:rPr>
        <w:t>等国际权威学术期刊，其中晚期鼻咽癌一线治疗（吉西</w:t>
      </w:r>
      <w:proofErr w:type="gramStart"/>
      <w:r w:rsidRPr="0010034C">
        <w:rPr>
          <w:rFonts w:ascii="宋体" w:eastAsia="宋体" w:hAnsi="宋体" w:cs="Arial" w:hint="eastAsia"/>
          <w:color w:val="000000"/>
          <w:sz w:val="24"/>
          <w:szCs w:val="24"/>
        </w:rPr>
        <w:t>他滨联合顺铂</w:t>
      </w:r>
      <w:proofErr w:type="gramEnd"/>
      <w:r w:rsidRPr="0010034C">
        <w:rPr>
          <w:rFonts w:ascii="宋体" w:eastAsia="宋体" w:hAnsi="宋体" w:cs="Arial" w:hint="eastAsia"/>
          <w:color w:val="000000"/>
          <w:sz w:val="24"/>
          <w:szCs w:val="24"/>
        </w:rPr>
        <w:t>方案）研究被</w:t>
      </w:r>
      <w:r w:rsidRPr="0010034C">
        <w:rPr>
          <w:rFonts w:ascii="lucida Grande" w:eastAsia="宋体" w:hAnsi="lucida Grande" w:cs="Arial"/>
          <w:color w:val="000000"/>
          <w:kern w:val="0"/>
          <w:sz w:val="24"/>
          <w:szCs w:val="24"/>
        </w:rPr>
        <w:t>F1000 Prime</w:t>
      </w:r>
      <w:r w:rsidRPr="0010034C">
        <w:rPr>
          <w:rFonts w:ascii="宋体" w:eastAsia="宋体" w:hAnsi="宋体" w:cs="Arial" w:hint="eastAsia"/>
          <w:color w:val="000000"/>
          <w:sz w:val="24"/>
          <w:szCs w:val="24"/>
        </w:rPr>
        <w:t>认定为“强烈推荐”研究，属</w:t>
      </w:r>
      <w:r w:rsidRPr="0010034C">
        <w:rPr>
          <w:rFonts w:ascii="lucida Grande" w:eastAsia="宋体" w:hAnsi="lucida Grande" w:cs="Arial"/>
          <w:color w:val="000000"/>
          <w:kern w:val="0"/>
          <w:sz w:val="24"/>
          <w:szCs w:val="24"/>
        </w:rPr>
        <w:t>2%</w:t>
      </w:r>
      <w:r w:rsidRPr="0010034C">
        <w:rPr>
          <w:rFonts w:ascii="宋体" w:eastAsia="宋体" w:hAnsi="宋体" w:cs="Arial" w:hint="eastAsia"/>
          <w:color w:val="000000"/>
          <w:sz w:val="24"/>
          <w:szCs w:val="24"/>
        </w:rPr>
        <w:t>以内的高质量文章，研究结果入选了</w:t>
      </w:r>
      <w:r w:rsidRPr="0010034C">
        <w:rPr>
          <w:rFonts w:ascii="lucida Grande" w:eastAsia="宋体" w:hAnsi="lucida Grande" w:cs="Arial"/>
          <w:color w:val="000000"/>
          <w:kern w:val="0"/>
          <w:sz w:val="24"/>
          <w:szCs w:val="24"/>
        </w:rPr>
        <w:t>2016</w:t>
      </w:r>
      <w:r w:rsidRPr="0010034C">
        <w:rPr>
          <w:rFonts w:ascii="宋体" w:eastAsia="宋体" w:hAnsi="宋体" w:cs="Arial" w:hint="eastAsia"/>
          <w:color w:val="000000"/>
          <w:sz w:val="24"/>
          <w:szCs w:val="24"/>
        </w:rPr>
        <w:t>年美国临床肿瘤学（</w:t>
      </w:r>
      <w:r w:rsidRPr="0010034C">
        <w:rPr>
          <w:rFonts w:ascii="lucida Grande" w:eastAsia="宋体" w:hAnsi="lucida Grande" w:cs="Arial"/>
          <w:color w:val="000000"/>
          <w:kern w:val="0"/>
          <w:sz w:val="24"/>
          <w:szCs w:val="24"/>
        </w:rPr>
        <w:t>ASCO</w:t>
      </w:r>
      <w:r w:rsidRPr="0010034C">
        <w:rPr>
          <w:rFonts w:ascii="宋体" w:eastAsia="宋体" w:hAnsi="宋体" w:cs="Arial" w:hint="eastAsia"/>
          <w:color w:val="000000"/>
          <w:sz w:val="24"/>
          <w:szCs w:val="24"/>
        </w:rPr>
        <w:t>）年会口头报告（晚期鼻咽癌全球首个）。研究结果现已被</w:t>
      </w:r>
      <w:r w:rsidRPr="0010034C">
        <w:rPr>
          <w:rFonts w:ascii="lucida Grande" w:eastAsia="宋体" w:hAnsi="lucida Grande" w:cs="Arial"/>
          <w:color w:val="000000"/>
          <w:kern w:val="0"/>
          <w:sz w:val="24"/>
          <w:szCs w:val="24"/>
        </w:rPr>
        <w:t>2018</w:t>
      </w:r>
      <w:r w:rsidRPr="0010034C">
        <w:rPr>
          <w:rFonts w:ascii="宋体" w:eastAsia="宋体" w:hAnsi="宋体" w:cs="Arial" w:hint="eastAsia"/>
          <w:color w:val="000000"/>
          <w:sz w:val="24"/>
          <w:szCs w:val="24"/>
        </w:rPr>
        <w:t>年</w:t>
      </w:r>
      <w:r w:rsidRPr="0010034C">
        <w:rPr>
          <w:rFonts w:ascii="lucida Grande" w:eastAsia="宋体" w:hAnsi="lucida Grande" w:cs="Arial"/>
          <w:color w:val="000000"/>
          <w:kern w:val="0"/>
          <w:sz w:val="24"/>
          <w:szCs w:val="24"/>
        </w:rPr>
        <w:t>NCCN</w:t>
      </w:r>
      <w:r w:rsidRPr="0010034C">
        <w:rPr>
          <w:rFonts w:ascii="宋体" w:eastAsia="宋体" w:hAnsi="宋体" w:cs="Arial" w:hint="eastAsia"/>
          <w:color w:val="000000"/>
          <w:sz w:val="24"/>
          <w:szCs w:val="24"/>
        </w:rPr>
        <w:t>指南（鼻咽癌领域唯一</w:t>
      </w:r>
      <w:proofErr w:type="gramStart"/>
      <w:r w:rsidRPr="0010034C">
        <w:rPr>
          <w:rFonts w:ascii="宋体" w:eastAsia="宋体" w:hAnsi="宋体" w:cs="Arial" w:hint="eastAsia"/>
          <w:color w:val="000000"/>
          <w:sz w:val="24"/>
          <w:szCs w:val="24"/>
        </w:rPr>
        <w:t>一</w:t>
      </w:r>
      <w:proofErr w:type="gramEnd"/>
      <w:r w:rsidRPr="0010034C">
        <w:rPr>
          <w:rFonts w:ascii="宋体" w:eastAsia="宋体" w:hAnsi="宋体" w:cs="Arial" w:hint="eastAsia"/>
          <w:color w:val="000000"/>
          <w:sz w:val="24"/>
          <w:szCs w:val="24"/>
        </w:rPr>
        <w:t>项</w:t>
      </w:r>
      <w:r w:rsidRPr="0010034C">
        <w:rPr>
          <w:rFonts w:ascii="lucida Grande" w:eastAsia="宋体" w:hAnsi="lucida Grande" w:cs="Arial"/>
          <w:color w:val="000000"/>
          <w:kern w:val="0"/>
          <w:sz w:val="24"/>
          <w:szCs w:val="24"/>
        </w:rPr>
        <w:t>I</w:t>
      </w:r>
      <w:r w:rsidRPr="0010034C">
        <w:rPr>
          <w:rFonts w:ascii="宋体" w:eastAsia="宋体" w:hAnsi="宋体" w:cs="Arial" w:hint="eastAsia"/>
          <w:color w:val="000000"/>
          <w:sz w:val="24"/>
          <w:szCs w:val="24"/>
        </w:rPr>
        <w:t>类证据）、《中国转移性鼻咽癌专家共识》收录，在全球推广应用。本项目研究目前已经在华西医院、浙江省肿瘤医院、江西省肿瘤医院、中山大学附属第五</w:t>
      </w:r>
      <w:r w:rsidRPr="0010034C">
        <w:rPr>
          <w:rFonts w:ascii="宋体" w:eastAsia="宋体" w:hAnsi="宋体" w:cs="Arial" w:hint="eastAsia"/>
          <w:color w:val="000000"/>
          <w:sz w:val="24"/>
          <w:szCs w:val="24"/>
        </w:rPr>
        <w:lastRenderedPageBreak/>
        <w:t>医院等多家医疗单位推广应用，为晚期鼻咽癌的规范治疗、精准治疗提供新的证据和治疗策略，提高我国晚期鼻咽癌的诊疗水平，取得了重大的临床治疗价值及社会经济意义。</w:t>
      </w:r>
    </w:p>
    <w:p w:rsidR="0010034C" w:rsidRPr="0010034C" w:rsidRDefault="0010034C" w:rsidP="0010034C">
      <w:pPr>
        <w:widowControl/>
        <w:jc w:val="left"/>
        <w:rPr>
          <w:rFonts w:ascii="lucida Grande" w:eastAsia="宋体" w:hAnsi="lucida Grande" w:cs="Arial"/>
          <w:color w:val="000000"/>
          <w:kern w:val="0"/>
          <w:szCs w:val="21"/>
        </w:rPr>
      </w:pPr>
      <w:r w:rsidRPr="0010034C">
        <w:rPr>
          <w:rFonts w:ascii="lucida Grande" w:eastAsia="宋体" w:hAnsi="lucida Grande" w:cs="Arial"/>
          <w:color w:val="000000"/>
          <w:kern w:val="0"/>
          <w:szCs w:val="21"/>
        </w:rPr>
        <w:t> </w:t>
      </w:r>
    </w:p>
    <w:p w:rsidR="00E10959" w:rsidRPr="0010034C" w:rsidRDefault="00E10959"/>
    <w:sectPr w:rsidR="00E10959" w:rsidRPr="00100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3A" w:rsidRDefault="00E5373A" w:rsidP="0010034C">
      <w:r>
        <w:separator/>
      </w:r>
    </w:p>
  </w:endnote>
  <w:endnote w:type="continuationSeparator" w:id="0">
    <w:p w:rsidR="00E5373A" w:rsidRDefault="00E5373A" w:rsidP="0010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3A" w:rsidRDefault="00E5373A" w:rsidP="0010034C">
      <w:r>
        <w:separator/>
      </w:r>
    </w:p>
  </w:footnote>
  <w:footnote w:type="continuationSeparator" w:id="0">
    <w:p w:rsidR="00E5373A" w:rsidRDefault="00E5373A" w:rsidP="00100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16"/>
    <w:rsid w:val="0010034C"/>
    <w:rsid w:val="005618C7"/>
    <w:rsid w:val="00E10959"/>
    <w:rsid w:val="00E5373A"/>
    <w:rsid w:val="00EB1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34C"/>
    <w:rPr>
      <w:sz w:val="18"/>
      <w:szCs w:val="18"/>
    </w:rPr>
  </w:style>
  <w:style w:type="paragraph" w:styleId="a4">
    <w:name w:val="footer"/>
    <w:basedOn w:val="a"/>
    <w:link w:val="Char0"/>
    <w:uiPriority w:val="99"/>
    <w:unhideWhenUsed/>
    <w:rsid w:val="0010034C"/>
    <w:pPr>
      <w:tabs>
        <w:tab w:val="center" w:pos="4153"/>
        <w:tab w:val="right" w:pos="8306"/>
      </w:tabs>
      <w:snapToGrid w:val="0"/>
      <w:jc w:val="left"/>
    </w:pPr>
    <w:rPr>
      <w:sz w:val="18"/>
      <w:szCs w:val="18"/>
    </w:rPr>
  </w:style>
  <w:style w:type="character" w:customStyle="1" w:styleId="Char0">
    <w:name w:val="页脚 Char"/>
    <w:basedOn w:val="a0"/>
    <w:link w:val="a4"/>
    <w:uiPriority w:val="99"/>
    <w:rsid w:val="0010034C"/>
    <w:rPr>
      <w:sz w:val="18"/>
      <w:szCs w:val="18"/>
    </w:rPr>
  </w:style>
  <w:style w:type="paragraph" w:styleId="a5">
    <w:name w:val="Normal (Web)"/>
    <w:basedOn w:val="a"/>
    <w:uiPriority w:val="99"/>
    <w:semiHidden/>
    <w:unhideWhenUsed/>
    <w:rsid w:val="0010034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34C"/>
    <w:rPr>
      <w:sz w:val="18"/>
      <w:szCs w:val="18"/>
    </w:rPr>
  </w:style>
  <w:style w:type="paragraph" w:styleId="a4">
    <w:name w:val="footer"/>
    <w:basedOn w:val="a"/>
    <w:link w:val="Char0"/>
    <w:uiPriority w:val="99"/>
    <w:unhideWhenUsed/>
    <w:rsid w:val="0010034C"/>
    <w:pPr>
      <w:tabs>
        <w:tab w:val="center" w:pos="4153"/>
        <w:tab w:val="right" w:pos="8306"/>
      </w:tabs>
      <w:snapToGrid w:val="0"/>
      <w:jc w:val="left"/>
    </w:pPr>
    <w:rPr>
      <w:sz w:val="18"/>
      <w:szCs w:val="18"/>
    </w:rPr>
  </w:style>
  <w:style w:type="character" w:customStyle="1" w:styleId="Char0">
    <w:name w:val="页脚 Char"/>
    <w:basedOn w:val="a0"/>
    <w:link w:val="a4"/>
    <w:uiPriority w:val="99"/>
    <w:rsid w:val="0010034C"/>
    <w:rPr>
      <w:sz w:val="18"/>
      <w:szCs w:val="18"/>
    </w:rPr>
  </w:style>
  <w:style w:type="paragraph" w:styleId="a5">
    <w:name w:val="Normal (Web)"/>
    <w:basedOn w:val="a"/>
    <w:uiPriority w:val="99"/>
    <w:semiHidden/>
    <w:unhideWhenUsed/>
    <w:rsid w:val="001003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9741">
      <w:bodyDiv w:val="1"/>
      <w:marLeft w:val="0"/>
      <w:marRight w:val="0"/>
      <w:marTop w:val="0"/>
      <w:marBottom w:val="0"/>
      <w:divBdr>
        <w:top w:val="none" w:sz="0" w:space="0" w:color="auto"/>
        <w:left w:val="none" w:sz="0" w:space="0" w:color="auto"/>
        <w:bottom w:val="none" w:sz="0" w:space="0" w:color="auto"/>
        <w:right w:val="none" w:sz="0" w:space="0" w:color="auto"/>
      </w:divBdr>
      <w:divsChild>
        <w:div w:id="164706963">
          <w:marLeft w:val="0"/>
          <w:marRight w:val="0"/>
          <w:marTop w:val="0"/>
          <w:marBottom w:val="0"/>
          <w:divBdr>
            <w:top w:val="none" w:sz="0" w:space="0" w:color="auto"/>
            <w:left w:val="none" w:sz="0" w:space="0" w:color="auto"/>
            <w:bottom w:val="none" w:sz="0" w:space="0" w:color="auto"/>
            <w:right w:val="none" w:sz="0" w:space="0" w:color="auto"/>
          </w:divBdr>
          <w:divsChild>
            <w:div w:id="605622840">
              <w:marLeft w:val="0"/>
              <w:marRight w:val="0"/>
              <w:marTop w:val="0"/>
              <w:marBottom w:val="0"/>
              <w:divBdr>
                <w:top w:val="none" w:sz="0" w:space="0" w:color="auto"/>
                <w:left w:val="none" w:sz="0" w:space="0" w:color="auto"/>
                <w:bottom w:val="none" w:sz="0" w:space="0" w:color="auto"/>
                <w:right w:val="none" w:sz="0" w:space="0" w:color="auto"/>
              </w:divBdr>
              <w:divsChild>
                <w:div w:id="2146116474">
                  <w:marLeft w:val="0"/>
                  <w:marRight w:val="2550"/>
                  <w:marTop w:val="0"/>
                  <w:marBottom w:val="0"/>
                  <w:divBdr>
                    <w:top w:val="none" w:sz="0" w:space="0" w:color="auto"/>
                    <w:left w:val="none" w:sz="0" w:space="0" w:color="auto"/>
                    <w:bottom w:val="none" w:sz="0" w:space="0" w:color="auto"/>
                    <w:right w:val="none" w:sz="0" w:space="0" w:color="auto"/>
                  </w:divBdr>
                  <w:divsChild>
                    <w:div w:id="1796101797">
                      <w:marLeft w:val="0"/>
                      <w:marRight w:val="0"/>
                      <w:marTop w:val="0"/>
                      <w:marBottom w:val="0"/>
                      <w:divBdr>
                        <w:top w:val="none" w:sz="0" w:space="0" w:color="auto"/>
                        <w:left w:val="none" w:sz="0" w:space="0" w:color="auto"/>
                        <w:bottom w:val="none" w:sz="0" w:space="0" w:color="auto"/>
                        <w:right w:val="none" w:sz="0" w:space="0" w:color="auto"/>
                      </w:divBdr>
                    </w:div>
                    <w:div w:id="198930858">
                      <w:marLeft w:val="0"/>
                      <w:marRight w:val="0"/>
                      <w:marTop w:val="0"/>
                      <w:marBottom w:val="0"/>
                      <w:divBdr>
                        <w:top w:val="none" w:sz="0" w:space="0" w:color="auto"/>
                        <w:left w:val="none" w:sz="0" w:space="0" w:color="auto"/>
                        <w:bottom w:val="none" w:sz="0" w:space="0" w:color="auto"/>
                        <w:right w:val="none" w:sz="0" w:space="0" w:color="auto"/>
                      </w:divBdr>
                    </w:div>
                    <w:div w:id="1039471895">
                      <w:marLeft w:val="0"/>
                      <w:marRight w:val="0"/>
                      <w:marTop w:val="0"/>
                      <w:marBottom w:val="0"/>
                      <w:divBdr>
                        <w:top w:val="none" w:sz="0" w:space="0" w:color="auto"/>
                        <w:left w:val="none" w:sz="0" w:space="0" w:color="auto"/>
                        <w:bottom w:val="none" w:sz="0" w:space="0" w:color="auto"/>
                        <w:right w:val="none" w:sz="0" w:space="0" w:color="auto"/>
                      </w:divBdr>
                    </w:div>
                    <w:div w:id="565917658">
                      <w:marLeft w:val="0"/>
                      <w:marRight w:val="0"/>
                      <w:marTop w:val="0"/>
                      <w:marBottom w:val="0"/>
                      <w:divBdr>
                        <w:top w:val="none" w:sz="0" w:space="0" w:color="auto"/>
                        <w:left w:val="none" w:sz="0" w:space="0" w:color="auto"/>
                        <w:bottom w:val="none" w:sz="0" w:space="0" w:color="auto"/>
                        <w:right w:val="none" w:sz="0" w:space="0" w:color="auto"/>
                      </w:divBdr>
                    </w:div>
                    <w:div w:id="412050332">
                      <w:marLeft w:val="0"/>
                      <w:marRight w:val="0"/>
                      <w:marTop w:val="0"/>
                      <w:marBottom w:val="0"/>
                      <w:divBdr>
                        <w:top w:val="none" w:sz="0" w:space="0" w:color="auto"/>
                        <w:left w:val="none" w:sz="0" w:space="0" w:color="auto"/>
                        <w:bottom w:val="none" w:sz="0" w:space="0" w:color="auto"/>
                        <w:right w:val="none" w:sz="0" w:space="0" w:color="auto"/>
                      </w:divBdr>
                      <w:divsChild>
                        <w:div w:id="1209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2020-03-19T00:35:00Z</dcterms:created>
  <dcterms:modified xsi:type="dcterms:W3CDTF">2020-03-19T00:38:00Z</dcterms:modified>
</cp:coreProperties>
</file>