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9A044">
      <w:pPr>
        <w:spacing w:before="240" w:after="240" w:line="360" w:lineRule="auto"/>
        <w:jc w:val="center"/>
        <w:outlineLvl w:val="0"/>
        <w:rPr>
          <w:highlight w:val="none"/>
        </w:rPr>
      </w:pPr>
      <w:r>
        <w:rPr>
          <w:rFonts w:ascii="黑体" w:hAnsi="黑体" w:eastAsia="黑体"/>
          <w:b/>
          <w:sz w:val="44"/>
          <w:highlight w:val="none"/>
        </w:rPr>
        <w:t>后勤机电设备巡检信息系统及零星维修单管理系统建设项目</w:t>
      </w:r>
    </w:p>
    <w:p w14:paraId="51A4E0C5">
      <w:pPr>
        <w:spacing w:before="240" w:after="240" w:line="360" w:lineRule="auto"/>
        <w:jc w:val="center"/>
        <w:outlineLvl w:val="0"/>
        <w:rPr>
          <w:highlight w:val="none"/>
        </w:rPr>
      </w:pPr>
      <w:r>
        <w:rPr>
          <w:rFonts w:ascii="黑体" w:hAnsi="黑体" w:eastAsia="黑体"/>
          <w:b/>
          <w:sz w:val="44"/>
          <w:highlight w:val="none"/>
        </w:rPr>
        <w:t>用户需求书</w:t>
      </w:r>
    </w:p>
    <w:p w14:paraId="625D9BCB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项目调研重要说明</w:t>
      </w:r>
    </w:p>
    <w:p w14:paraId="091228B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本需求书为市场调研阶段文件，非最终采购文件，医院将根据调研结果对项目范围、内容与预算进行合理调整，最终采购需求以正式招标文件为准。</w:t>
      </w:r>
    </w:p>
    <w:p w14:paraId="50B0CB3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本次报价为市场调研阶段报价，供医院编制预算与立项参考，不构成最终采购承诺；报价有效期不少于90个日历日，报价为含税价（含增值税），报价单须注明税率。</w:t>
      </w:r>
    </w:p>
    <w:p w14:paraId="0C94296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本项目包含后勤机电设备巡检信息系统（子系统一）和零星维修单管理系统（子系统二）两套子系统，供应商可对两套子系统分别报价，也可整体报价；整体报价应体现优惠，分别报价之和不得低于整体报价。凡未列入报价单但本需求书有要求的项目，视为已包含在总价中，供应商不得在项目实施中以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需求书未列明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为由另行收费。</w:t>
      </w:r>
    </w:p>
    <w:p w14:paraId="095B0A2E">
      <w:pPr>
        <w:spacing w:before="240" w:after="120" w:line="360" w:lineRule="auto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项目概述</w:t>
      </w:r>
    </w:p>
    <w:p w14:paraId="7EC57028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中山大学肿瘤防治中心现有越秀院区、黄埔院区，在建天河院区，总建筑面积约58万平方米。医院后勤机电设备种类繁多、分布广泛，涵盖医用气体设备、空调系统、给排水水泵、各类机房、配电房、配电柜、楼层电房等关键设施，其安全稳定运行直接关系到医疗业务的连续性和患者生命安全。</w:t>
      </w:r>
    </w:p>
    <w:p w14:paraId="6BDC1CB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当前后勤设备巡检主要依赖纸质记录和人工巡查，存在巡检标准不统一、巡检过程难以监督、漏检代检难以发现、异常上报不及时、巡检数据无法有效积累分析等问题。尤其医院大量巡检点位于机房、配电房、地下室等区域，传统人工巡检方式无法精准判断巡检人员是否真实到场，存在代检、补签等管理漏洞。</w:t>
      </w:r>
    </w:p>
    <w:p w14:paraId="0F72055A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为提升后勤设备管理的精细化、智能化水平，保障设备安全运行，拟建设后勤机电设备巡检信息系统（以下简称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子系统一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或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巡检系统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），通过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移动端现场巡检</w:t>
      </w:r>
      <w:r>
        <w:rPr>
          <w:rFonts w:hint="eastAsia"/>
          <w:b w:val="0"/>
          <w:sz w:val="24"/>
          <w:highlight w:val="none"/>
          <w:lang w:val="en-US" w:eastAsia="zh-CN"/>
        </w:rPr>
        <w:t>结合</w:t>
      </w:r>
      <w:r>
        <w:rPr>
          <w:rFonts w:ascii="宋体" w:hAnsi="宋体" w:eastAsia="宋体"/>
          <w:b w:val="0"/>
          <w:sz w:val="24"/>
          <w:highlight w:val="none"/>
        </w:rPr>
        <w:t>后台实时监督管理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的模式，实现巡检任务自动派发、精准到场验证、异常实时上报、巡检轨迹全程追溯、数据统计分析决策支持，构建标准化、闭环化、可监督的设备巡检管理体系。</w:t>
      </w:r>
    </w:p>
    <w:p w14:paraId="412F4F2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同时，医院临床科室在日常运营中产生大量零星维修事项（如房屋、水电、门窗、家具、小型设施等的日常维修），为规范零星维修管理，拟同步建设零星维修单管理系统（以下简称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子系统二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或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维修系统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），面向临床科室提供在线申请入口，实现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申请—现场勘探—立项—施工—验收—结算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全流程线上化闭环管理，并支持全过程资料与结算材料导出，保障零星维修业务规范、透明、可追溯。</w:t>
      </w:r>
    </w:p>
    <w:p w14:paraId="1F101B29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一、项目背景与建设目标</w:t>
      </w:r>
    </w:p>
    <w:p w14:paraId="1262CC1B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（一）项目背景</w:t>
      </w:r>
    </w:p>
    <w:p w14:paraId="665C1782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设备规模大、分布广。机电设备覆盖多院区、多楼栋，数量大、点位分散，人工巡检效率低，难以高频全覆盖。</w:t>
      </w:r>
    </w:p>
    <w:p w14:paraId="579B6F4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巡检质量难以保障。纸质巡检存在代签、补签、漏检；大量点位位于室内、地下室等GPS盲区，管理人员无法核实是否真实到场、是否按标准巡检，缺乏有效监督手段。</w:t>
      </w:r>
    </w:p>
    <w:p w14:paraId="6A57A2A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异常响应不及时。异常经电话、微信上报，环节多、易遗漏，处理过程无闭环跟踪，影响故障快速处置。</w:t>
      </w:r>
    </w:p>
    <w:p w14:paraId="411C223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数据价值未充分挖掘。纸质记录无法统计分析，难以支撑设备健康度评估与管理决策。</w:t>
      </w:r>
    </w:p>
    <w:p w14:paraId="36753469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（二）建设目标</w:t>
      </w:r>
    </w:p>
    <w:p w14:paraId="3E675FE9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1. 子系统一（巡检信息系统）建设目标</w:t>
      </w:r>
    </w:p>
    <w:p w14:paraId="67667DF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（1）巡检标准化：统一设备编码、巡检项目、判定标准与周期，有标可依。</w:t>
      </w:r>
    </w:p>
    <w:p w14:paraId="25CDB13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（2）到场可验证：蓝牙Beacon室内定位等多技术融合，室内外全场景精准验证到场，杜绝代检漏检。</w:t>
      </w:r>
    </w:p>
    <w:p w14:paraId="5997F22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（3）过程可监督：实时定位、轨迹回放、到位率统计，全程监督巡检到位。</w:t>
      </w:r>
    </w:p>
    <w:p w14:paraId="16E2E66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（4）异常快响应：异常现场上报、自动派单、全程闭环，缩短响应与处置时间。</w:t>
      </w:r>
    </w:p>
    <w:p w14:paraId="06BF0143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（5）数据可分析：积累巡检与异常数据，多维统计分析，支撑决策与考核。</w:t>
      </w:r>
    </w:p>
    <w:p w14:paraId="7F0DA1E3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（6）移动化办公：巡检人员通过移动端完成全部操作，减少纸质记录。</w:t>
      </w:r>
    </w:p>
    <w:p w14:paraId="32589D15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2. 子系统二（零星维修单管理系统）建设目标</w:t>
      </w:r>
    </w:p>
    <w:p w14:paraId="2AA2644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（1）申请线上化：临床科室在线发起零星维修申请，规范需求记录，告别电话、口头申报。</w:t>
      </w:r>
    </w:p>
    <w:p w14:paraId="0D830E8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（2）流程闭环化：实现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申请—受理—勘探—立项—施工—验收—结算—</w:t>
      </w:r>
      <w:r>
        <w:rPr>
          <w:rFonts w:hint="eastAsia"/>
          <w:b w:val="0"/>
          <w:sz w:val="24"/>
          <w:highlight w:val="none"/>
          <w:lang w:val="en-US" w:eastAsia="zh-CN"/>
        </w:rPr>
        <w:t>评价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全流程线上闭环，各环节可跟踪、可查询、可追溯。</w:t>
      </w:r>
    </w:p>
    <w:p w14:paraId="2AF6AEB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（3）责任清晰化：明确各环节处理人、处理时限，超时自动预警升级，责任界定有据可依。</w:t>
      </w:r>
    </w:p>
    <w:p w14:paraId="4F8ED77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（4）资料规范化：全过程资料与结算材料线上归档，支持一键导出，保障结算依据充分、归档规范。</w:t>
      </w:r>
    </w:p>
    <w:p w14:paraId="112BDEE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（5）数据可分析：积累零星维修数据，多维度统计分析，支撑后勤维修管理决策与预算编制。</w:t>
      </w:r>
    </w:p>
    <w:p w14:paraId="543F57F8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二、规范化标准体系建设（子系统一：巡检系统）</w:t>
      </w:r>
    </w:p>
    <w:p w14:paraId="483EC710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（一）设备分类与编码标准</w:t>
      </w:r>
    </w:p>
    <w:p w14:paraId="7CA3ECC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建立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院区—楼栋—楼层—区域—设备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的统一层级编码体系，确保每台设备唯一标识。设备分类至少涵盖以下类别：</w:t>
      </w:r>
    </w:p>
    <w:p w14:paraId="2071882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医用气体设备：中心供氧系统、负压吸引系统、压缩空气系统、气体汇流排、气体报警装置等；</w:t>
      </w:r>
    </w:p>
    <w:p w14:paraId="56E4B0E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空调系统：冷水机组、冷却塔、空调机组、新风机组、风机盘管、空调水泵等；</w:t>
      </w:r>
    </w:p>
    <w:p w14:paraId="4AA75CBA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给排水系统：生活水泵、消防水泵、排污泵、水箱、水处理器等；</w:t>
      </w:r>
    </w:p>
    <w:p w14:paraId="3E75200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供配电系统：高压配电房、低压配电柜、楼层电房、变压器、发电机、UPS等；</w:t>
      </w:r>
    </w:p>
    <w:p w14:paraId="7C792349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机房设备：弱电机房、消防控制室、监控中心、电梯机房等；</w:t>
      </w:r>
    </w:p>
    <w:p w14:paraId="4A3B2A5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6. 其他后勤机电设备：电梯、锅炉、照明系统等其他未分类机电设施。</w:t>
      </w:r>
    </w:p>
    <w:p w14:paraId="54C6C7F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每台设备生成唯一二维码或NFC标签，粘贴于设备显著位置，作为巡检身份识别入口。系统基础数据应符合医院信息化数据标准，为后期数据积累、扩充和完善提供基础。</w:t>
      </w:r>
    </w:p>
    <w:p w14:paraId="6532AE57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（二）巡检标准库</w:t>
      </w:r>
    </w:p>
    <w:p w14:paraId="1571936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按设备类型建立标准化巡检项目库，明确每项巡检内容、判定标准、记录方式和巡检周期。</w:t>
      </w:r>
    </w:p>
    <w:p w14:paraId="7491E03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巡检项目类型：数值型（温度、压力、电流、电压等，设正常阈值）、状态型（正常/异常/待观察）、描述型（文字、拍照）；</w:t>
      </w:r>
    </w:p>
    <w:p w14:paraId="3CABEBBA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判定标准：数值型设上下限阈值，超限自动判定异常；状态型预设标准选项；</w:t>
      </w:r>
    </w:p>
    <w:p w14:paraId="246B574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巡检周期：支持日/周/月/季/半年/年检，按设备单独配置；</w:t>
      </w:r>
    </w:p>
    <w:p w14:paraId="611CB89A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标准版本管理：修改留痕，支持历史版本对比与回滚。</w:t>
      </w:r>
    </w:p>
    <w:p w14:paraId="522BE49B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（三）巡检路线与班次管理</w:t>
      </w:r>
    </w:p>
    <w:p w14:paraId="68FA546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按区域、楼栋或设备类型规划巡检路线，路线包含有序排列的巡检点；</w:t>
      </w:r>
    </w:p>
    <w:p w14:paraId="619E3F4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巡检点关联设备、巡检项目及定位信标（Beacon/NFC）；</w:t>
      </w:r>
    </w:p>
    <w:p w14:paraId="5A40E1D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支持多班次设置（早班、中班、晚班、夜班等），可按班组和人员排班；</w:t>
      </w:r>
    </w:p>
    <w:p w14:paraId="66734815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支持巡检路线的临时调整和人员替班。</w:t>
      </w:r>
    </w:p>
    <w:p w14:paraId="575C1011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三、巡检信息系统功能需求（子系统一）</w:t>
      </w:r>
    </w:p>
    <w:p w14:paraId="12909D83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（一）移动端（巡检人员端）</w:t>
      </w:r>
    </w:p>
    <w:p w14:paraId="0B5FD1A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移动端面向一线巡检人员，支持智能手机APP和/或微信小程序（至少一种），满足现场快速操作需求，主要功能包括：</w:t>
      </w:r>
    </w:p>
    <w:p w14:paraId="1408AE2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登录与身份认证：支持账号密码登录，可对接医院统一身份认证；登录后自动加载本人巡检任务。</w:t>
      </w:r>
    </w:p>
    <w:p w14:paraId="5A238C8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巡检任务管理：查看当日/本周巡检任务列表，显示任务名称、路线、计划时间、状态（待执行/执行中/已完成/逾期）；支持任务接收和开始执行。</w:t>
      </w:r>
    </w:p>
    <w:p w14:paraId="6A1E5D2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扫码巡检：扫描设备二维码或读取NFC标签，系统自动调出该设备对应的巡检表单，巡检人员逐项填写；未完成到场验证不得提交巡检记录，防止代检。</w:t>
      </w:r>
    </w:p>
    <w:p w14:paraId="1BD79AF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精准到场签到：以蓝牙Beacon自动签到为主、NFC触碰签到为辅，杜绝远程打卡、代检等行为；地下室等蓝牙信号不佳区域以NFC触碰签到为准。</w:t>
      </w:r>
    </w:p>
    <w:p w14:paraId="5C69522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巡检项填写：支持数值录入（带键盘校验）、单选/多选状态选择、文字描述、拍照上传（必须现场拍照，带时间水印和定位信息）、语音备注；数值超出阈值自动标红预警。</w:t>
      </w:r>
    </w:p>
    <w:p w14:paraId="3F8A4F0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6. 异常上报：巡检中发现异常可即时发起异常上报，选择异常类型、严重等级（一般/重要/紧急）、填写描述、拍照/录像上传；紧急异常自动推送通知至管理人员。</w:t>
      </w:r>
    </w:p>
    <w:p w14:paraId="1DA1459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7. 离线巡检：支持网络信号不佳区域的离线巡检模式，巡检数据和定位记录本地缓存，网络恢复后自动同步；离线期间仍可扫码、NFC读取、填写、拍照。</w:t>
      </w:r>
    </w:p>
    <w:p w14:paraId="016A357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8. 消息通知：接收任务提醒、到期预警、异常催办、工单通知等消息；支持APP推送、短信、钉钉/微信通知（以医院实际</w:t>
      </w:r>
      <w:r>
        <w:rPr>
          <w:rFonts w:hint="eastAsia"/>
          <w:b w:val="0"/>
          <w:sz w:val="24"/>
          <w:highlight w:val="none"/>
          <w:lang w:val="en-US" w:eastAsia="zh-CN"/>
        </w:rPr>
        <w:t>选择方式</w:t>
      </w:r>
      <w:r>
        <w:rPr>
          <w:rFonts w:ascii="宋体" w:hAnsi="宋体" w:eastAsia="宋体"/>
          <w:b w:val="0"/>
          <w:sz w:val="24"/>
          <w:highlight w:val="none"/>
        </w:rPr>
        <w:t>为准）。</w:t>
      </w:r>
    </w:p>
    <w:p w14:paraId="20CD4052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9. 巡检历史：查询本人历史巡检记录，按日期、设备、路线筛选查看。</w:t>
      </w:r>
    </w:p>
    <w:p w14:paraId="2EF11E0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10. 个人统计：查看本人巡检完成率、异常上报数、逾期次数等个人绩效数据。</w:t>
      </w:r>
    </w:p>
    <w:p w14:paraId="3772E829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（二）后台管理端</w:t>
      </w:r>
    </w:p>
    <w:p w14:paraId="2743D76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后台管理端面向后勤管理人员、科室负责人和系统管理员，实现巡检工作的实时监督、异常处置和数据分析，主要功能包括：</w:t>
      </w:r>
    </w:p>
    <w:p w14:paraId="43A60524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1. 实时监控看板</w:t>
      </w:r>
    </w:p>
    <w:p w14:paraId="56EF589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（1）全局总览：实时显示在巡人员数量、在巡路线、今日应检任务数、已完成数、进行中数、逾期数、异常数；</w:t>
      </w:r>
    </w:p>
    <w:p w14:paraId="0530A90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（2）人员动态：基于蓝牙Beacon定位数据，地图/楼层平面图展示巡检人员实时位置和移动轨迹，显示当前所在区域、已停留时间；室内定位精度达房间级；</w:t>
      </w:r>
    </w:p>
    <w:p w14:paraId="40B0F24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（3）异常告警：实时滚动显示最新异常上报，按严重等级分级展示，紧急异常突出警示；</w:t>
      </w:r>
    </w:p>
    <w:p w14:paraId="43633B8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（4）任务进度：按班组、路线、人员展示巡检任务完成进度条，一目了然掌握整体情况。</w:t>
      </w:r>
    </w:p>
    <w:p w14:paraId="3D506E2C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2. 巡检监督与质量核查</w:t>
      </w:r>
    </w:p>
    <w:p w14:paraId="7B7F5DA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（1）巡检轨迹回放：基于蓝牙Beacon定位数据，按人员、日期回放巡检全程轨迹，查看各区域到达时间、停留时长、巡检顺序，判断是否按路线巡检、是否存在跳检、绕检；轨迹数据精确到房间级，连续可追溯；</w:t>
      </w:r>
    </w:p>
    <w:p w14:paraId="50A3D4D3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（2）到位率统计：自动统计应检点位数、实检点位数、漏检点位数，计算到位率；结合Beacon信号强度和停留时长数据，识别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路过未停</w:t>
      </w:r>
      <w:r>
        <w:rPr>
          <w:rFonts w:hint="eastAsia"/>
          <w:b w:val="0"/>
          <w:sz w:val="24"/>
          <w:highlight w:val="none"/>
          <w:lang w:eastAsia="zh-CN"/>
        </w:rPr>
        <w:t>”“</w:t>
      </w:r>
      <w:r>
        <w:rPr>
          <w:rFonts w:ascii="宋体" w:hAnsi="宋体" w:eastAsia="宋体"/>
          <w:b w:val="0"/>
          <w:sz w:val="24"/>
          <w:highlight w:val="none"/>
        </w:rPr>
        <w:t>信号微弱疑似代检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等异常情况；支持按日/周/月、按人员/班组/区域统计；</w:t>
      </w:r>
    </w:p>
    <w:p w14:paraId="033E769A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（3）巡检记录审核：管理人员可抽查巡检记录，核查填写完整性、照片真实性（含时间水印和定位信息）、异常处理情况；对不合格记录可退回重检；</w:t>
      </w:r>
    </w:p>
    <w:p w14:paraId="2B745B8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（4）异常行为预警：对长时间未移动、同一位置短时间完成大量巡检、巡检顺序异常、Beacon信号强度异常（疑似远程伪造）等可疑行为自动预警。</w:t>
      </w:r>
    </w:p>
    <w:p w14:paraId="35FF3D6B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3. 异常工单管理</w:t>
      </w:r>
    </w:p>
    <w:p w14:paraId="6ADDC97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（1）异常接收：自动接收移动端上报的异常，生成异常工单，显示异常设备、位置、描述、照片、上报人、上报时间；</w:t>
      </w:r>
    </w:p>
    <w:p w14:paraId="591F52CC">
      <w:pPr>
        <w:spacing w:line="360" w:lineRule="auto"/>
        <w:ind w:firstLine="480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color w:val="auto"/>
          <w:sz w:val="24"/>
          <w:highlight w:val="none"/>
        </w:rPr>
        <w:t>（2）工单派发：支持自动派单（按设备类型/区域匹配维保人员）和手动派单，派单后通知处理人员；</w:t>
      </w:r>
      <w:r>
        <w:rPr>
          <w:rFonts w:hint="eastAsia" w:ascii="宋体" w:hAnsi="宋体" w:eastAsia="宋体"/>
          <w:b w:val="0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巡检系统异常工单支持与医院现有AI后勤客服系统对接联动</w:t>
      </w:r>
      <w:r>
        <w:rPr>
          <w:rFonts w:ascii="宋体" w:hAnsi="宋体" w:eastAsia="宋体"/>
          <w:b w:val="0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；</w:t>
      </w:r>
    </w:p>
    <w:p w14:paraId="2F99D59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（3）处理跟踪：处理人员接单后更新处理状态（已接单/处理中/已完成），填写处理措施、更换配件、处理耗时，上传处理前后照片；</w:t>
      </w:r>
    </w:p>
    <w:p w14:paraId="72FA9B88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（4）验收闭环：管理人员对处理结果进行验收，验收通过关闭工单，不通过退回重处理；形成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上报—派单—处理—验收—关闭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完整闭环；</w:t>
      </w:r>
    </w:p>
    <w:p w14:paraId="7FC7E5A3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（5）超时预警：设置各环节处理时限，超时自动预警并升级通知上级管理人员。</w:t>
      </w:r>
    </w:p>
    <w:p w14:paraId="78D65797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4. 设备管理</w:t>
      </w:r>
    </w:p>
    <w:p w14:paraId="0B763BA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（1）设备台账：维护设备名称、编码、类型、型号规格、位置（院区/楼栋/楼层/房间）、投用日期、生产厂家、维保单位、责任人、设备状态等信息；</w:t>
      </w:r>
    </w:p>
    <w:p w14:paraId="596C35C3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（2）二维码/NFC管理：批量生成设备二维码和NFC标签，支持导出打印；标签关联设备档案和巡检表单；</w:t>
      </w:r>
    </w:p>
    <w:p w14:paraId="311FCC5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（3）设备档案：管理设备技术参数、图纸、说明书、维保合同、维保记录、巡检历史等资料；</w:t>
      </w:r>
    </w:p>
    <w:p w14:paraId="5EDBA194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（4）设备状态：正常、维修中、停用、报废等状态管理，状态变更记录可追溯；</w:t>
      </w:r>
    </w:p>
    <w:p w14:paraId="1525B30D">
      <w:pPr>
        <w:spacing w:line="360" w:lineRule="auto"/>
        <w:ind w:firstLine="480"/>
        <w:outlineLvl w:val="3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（5）设备与巡检点关联：一台设备可关联多个巡检点和巡检项目。</w:t>
      </w:r>
    </w:p>
    <w:p w14:paraId="12F87669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5. 巡检标准与任务管理</w:t>
      </w:r>
    </w:p>
    <w:p w14:paraId="5BF5920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color w:val="auto"/>
          <w:sz w:val="24"/>
          <w:highlight w:val="none"/>
        </w:rPr>
        <w:t>（1）巡检标准配置：按设备类型配置巡检项目、判定标准、阈值、周期（标准体系详见本需求书</w:t>
      </w:r>
      <w:r>
        <w:rPr>
          <w:rFonts w:hint="eastAsia"/>
          <w:b w:val="0"/>
          <w:color w:val="auto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二、规范化标准体系建设</w:t>
      </w:r>
      <w:r>
        <w:rPr>
          <w:rFonts w:hint="eastAsia"/>
          <w:b w:val="0"/>
          <w:color w:val="auto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）</w:t>
      </w:r>
      <w:r>
        <w:rPr>
          <w:rFonts w:ascii="宋体" w:hAnsi="宋体" w:eastAsia="宋体"/>
          <w:b w:val="0"/>
          <w:sz w:val="24"/>
          <w:highlight w:val="none"/>
        </w:rPr>
        <w:t>；支持标准模板复制和批量应用；</w:t>
      </w:r>
    </w:p>
    <w:p w14:paraId="28112C1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（2）自动任务生成：系统根据巡检标准和周期自动生成周期性巡检任务，按排班派发至对应人员；</w:t>
      </w:r>
    </w:p>
    <w:p w14:paraId="590C775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（3）临时任务：支持手动创建临时巡检任务（如设备维修后复查、专项检查），指定人员和时限；</w:t>
      </w:r>
    </w:p>
    <w:p w14:paraId="7E028062">
      <w:pPr>
        <w:spacing w:line="360" w:lineRule="auto"/>
        <w:ind w:firstLine="480"/>
        <w:outlineLvl w:val="3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（4）任务调整：支持任务改派、延期、取消，调整记录留痕；</w:t>
      </w:r>
    </w:p>
    <w:p w14:paraId="5BCAE94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（5）任务提醒：到期前自动提醒，逾期未完成自动预警并通知管理人员。</w:t>
      </w:r>
    </w:p>
    <w:p w14:paraId="4CBCDBF8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6. 人员与排班管理</w:t>
      </w:r>
    </w:p>
    <w:p w14:paraId="29BAE2D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（1）人员管理：维护巡检人员信息（姓名、工号、所属班组、联系方式、角色权限）；</w:t>
      </w:r>
    </w:p>
    <w:p w14:paraId="428D0749">
      <w:pPr>
        <w:spacing w:line="360" w:lineRule="auto"/>
        <w:ind w:firstLine="480"/>
        <w:outlineLvl w:val="3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（2）班组管理：创建巡检班组，设置班组负责人和成员；</w:t>
      </w:r>
    </w:p>
    <w:p w14:paraId="45A6F132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（3）排班管理：按日/周设置巡检排班，支持轮班、替班、加班安排；</w:t>
      </w:r>
    </w:p>
    <w:p w14:paraId="779A243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（4）权限管理：按角色分配系统功能权限和数据范围权限，支持按院区、部门设置数据范围，满足多院区管理需要。</w:t>
      </w:r>
    </w:p>
    <w:p w14:paraId="278DB63E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7. 定位信标管理</w:t>
      </w:r>
    </w:p>
    <w:p w14:paraId="217766E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（1）Beacon管理：维护Beacon设备编号、MAC地址、安装位置（院区/楼栋/楼层/区域）、所属巡检点、安装日期、电池电量、状态（正常/低电量/故障/离线）；</w:t>
      </w:r>
    </w:p>
    <w:p w14:paraId="6E4338E4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（2）NFC标签管理：维护NFC标签编号、关联设备、安装位置、状态；</w:t>
      </w:r>
    </w:p>
    <w:p w14:paraId="18CF73C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（3）低电量预警：Beacon电池电量低于阈值时自动预警，通知运维人员更换；</w:t>
      </w:r>
    </w:p>
    <w:p w14:paraId="491396C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（4）故障告警：Beacon长时间无信号上报时自动告警，提示设备故障或被移除；</w:t>
      </w:r>
    </w:p>
    <w:p w14:paraId="3667283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（5）信标统计：按院区、楼栋统计Beacon覆盖率、在线率、故障率，生成信标运维报表。</w:t>
      </w:r>
    </w:p>
    <w:p w14:paraId="4865930E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8. 统计分析与报表</w:t>
      </w:r>
    </w:p>
    <w:p w14:paraId="5652CE4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（1）巡检完成率与到位率：按日/周/月、按人员/班组/区域/设备类型统计任务完成率与巡检点到位率，支持趋势图，识别漏检高发区域；</w:t>
      </w:r>
    </w:p>
    <w:p w14:paraId="57483EA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（2）异常统计：按设备类型、区域、严重等级、发生时段统计异常数量与占比，分析异常高发设备和区域；</w:t>
      </w:r>
    </w:p>
    <w:p w14:paraId="29BBA69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（3）工单时效：统计异常响应时间、处理时长、超时率，评估维保效率；</w:t>
      </w:r>
    </w:p>
    <w:p w14:paraId="1B4C98E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（4）设备健康度：基于巡检数据和异常历史，评估设备运行状态和健康趋势；</w:t>
      </w:r>
    </w:p>
    <w:p w14:paraId="03641D8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（5）人员绩效与自定义报表：综合巡检完成率、到位率、异常上报数、逾期次数等生成绩效考核数据；支持自定义统计维度报表（可导出Excel/PDF）与可视化数据看板。</w:t>
      </w:r>
    </w:p>
    <w:p w14:paraId="088FAE79">
      <w:pPr>
        <w:spacing w:before="60" w:after="60"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/>
          <w:sz w:val="24"/>
          <w:highlight w:val="none"/>
        </w:rPr>
        <w:t>9. 系统管理</w:t>
      </w:r>
    </w:p>
    <w:p w14:paraId="63150FBD">
      <w:pPr>
        <w:spacing w:line="360" w:lineRule="auto"/>
        <w:ind w:firstLine="480"/>
        <w:outlineLvl w:val="3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（1）用户与角色：用户账号管理、角色定义、权限分配；</w:t>
      </w:r>
    </w:p>
    <w:p w14:paraId="17019A0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（2）操作日志与数据字典：记录登录、查询、新增、修改、删除、导入导出、派单、验收等关键操作，支持审计追溯；维护设备类型、异常类型、严重等级、组织机构等基础字典；</w:t>
      </w:r>
    </w:p>
    <w:p w14:paraId="1654BC1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（3）参数配置与数据备份：系统参数、提醒规则、阈值默认值、定位参数（Beacon扫描间隔、信号强度阈值、最短停留时长等）配置；支持定期自动备份和手动备份，保障数据安全。</w:t>
      </w:r>
    </w:p>
    <w:p w14:paraId="083E7F35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四、零星维修单管理系统功能需求（子系统二）</w:t>
      </w:r>
    </w:p>
    <w:p w14:paraId="7E6BCA3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零星维修单管理系统面向临床科室与后勤维修管理部门，实现零星维修事项从申请、受理、现场勘探、项目立项、施工、验收到结算的全流程线上化闭环管理，并对全过程资料与结算材料进行规范化归档与导出。</w:t>
      </w:r>
    </w:p>
    <w:p w14:paraId="4FC81393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（一）临床科室申请端</w:t>
      </w:r>
    </w:p>
    <w:p w14:paraId="45A1A9B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临床科室通过</w:t>
      </w:r>
      <w:r>
        <w:rPr>
          <w:rFonts w:hint="eastAsia"/>
          <w:b w:val="0"/>
          <w:sz w:val="24"/>
          <w:highlight w:val="none"/>
          <w:lang w:val="en-US" w:eastAsia="zh-CN"/>
        </w:rPr>
        <w:t>钉钉</w:t>
      </w:r>
      <w:r>
        <w:rPr>
          <w:rFonts w:ascii="宋体" w:hAnsi="宋体" w:eastAsia="宋体"/>
          <w:b w:val="0"/>
          <w:sz w:val="24"/>
          <w:highlight w:val="none"/>
        </w:rPr>
        <w:t>在线发起零星维修申请，主要功能包括：</w:t>
      </w:r>
    </w:p>
    <w:p w14:paraId="100A532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在线申请：临床科室人员发起零星维修申请，填写申请内容（维修事项及具体描述）、申请理由、具体地址（院区/楼栋/楼层/房间），上传必要的附件（现场照片、相关单据等），提交后生成零星维修工单。</w:t>
      </w:r>
    </w:p>
    <w:p w14:paraId="1732EB6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申请跟踪：查看本人及本科室申请的办理进度（待受理/已勘探/已立项/施工中/待验收/已验收/结算中/已结算等），接收各环节状态变更通知。</w:t>
      </w:r>
    </w:p>
    <w:p w14:paraId="5D15DF4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历史查询：查询本科室历史申请与维修记录，支持按日期、地址、状态等条件筛选，并可查看各工单全过程资料。</w:t>
      </w:r>
    </w:p>
    <w:p w14:paraId="4665C459">
      <w:pPr>
        <w:spacing w:line="360" w:lineRule="auto"/>
        <w:ind w:firstLine="480"/>
        <w:rPr>
          <w:rFonts w:ascii="宋体" w:hAnsi="宋体" w:eastAsia="宋体"/>
          <w:b w:val="0"/>
          <w:color w:val="0000FF"/>
          <w:sz w:val="24"/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消息通知：接收工单受理、现场勘探、项目立项、施工进度、验收结果、结算完成等各环节状态变更通知，支持钉钉通知</w:t>
      </w:r>
      <w:r>
        <w:rPr>
          <w:rFonts w:ascii="宋体" w:hAnsi="宋体" w:eastAsia="宋体"/>
          <w:b w:val="0"/>
          <w:color w:val="0000FF"/>
          <w:sz w:val="24"/>
          <w:highlight w:val="none"/>
        </w:rPr>
        <w:t>。</w:t>
      </w:r>
    </w:p>
    <w:p w14:paraId="0C81333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附件管理：在线上传维修申请相关附件（现场照片、相关单据等），查看后勤各环节上传的勘探照片、施工记录、验收报告等附件，支持附件在线预览与下载。</w:t>
      </w:r>
    </w:p>
    <w:p w14:paraId="301549EB">
      <w:pPr>
        <w:spacing w:line="360" w:lineRule="auto"/>
        <w:ind w:firstLine="480"/>
        <w:rPr>
          <w:rFonts w:ascii="宋体" w:hAnsi="宋体" w:eastAsia="宋体"/>
          <w:b w:val="0"/>
          <w:sz w:val="24"/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6. 科室统计：查看本科室零星维修申请数量、办理时效、结算金额等统计数据，支持按时间段、维修类型、状态等维度筛选与图表展示。</w:t>
      </w:r>
    </w:p>
    <w:p w14:paraId="7B0FC9D2">
      <w:pPr>
        <w:spacing w:line="360" w:lineRule="auto"/>
        <w:ind w:firstLine="480"/>
        <w:rPr>
          <w:rFonts w:hint="default" w:ascii="宋体" w:hAnsi="宋体" w:eastAsia="宋体"/>
          <w:b w:val="0"/>
          <w:sz w:val="24"/>
          <w:highlight w:val="none"/>
          <w:lang w:val="en-US" w:eastAsia="zh-CN"/>
        </w:rPr>
      </w:pPr>
      <w:r>
        <w:rPr>
          <w:rFonts w:hint="eastAsia"/>
          <w:b w:val="0"/>
          <w:sz w:val="24"/>
          <w:highlight w:val="none"/>
          <w:lang w:val="en-US" w:eastAsia="zh-CN"/>
        </w:rPr>
        <w:t>7、验收与评价：对已经完成施工项目进行功能验收，并开展施工质量评价。</w:t>
      </w:r>
    </w:p>
    <w:p w14:paraId="30EF3859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（二）后勤管理端（后台）</w:t>
      </w:r>
    </w:p>
    <w:p w14:paraId="29C50F1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后勤管理端面向</w:t>
      </w:r>
      <w:r>
        <w:rPr>
          <w:rFonts w:hint="eastAsia"/>
          <w:b w:val="0"/>
          <w:sz w:val="24"/>
          <w:highlight w:val="none"/>
          <w:lang w:val="en-US" w:eastAsia="zh-CN"/>
        </w:rPr>
        <w:t>物业管理科</w:t>
      </w:r>
      <w:r>
        <w:rPr>
          <w:rFonts w:ascii="宋体" w:hAnsi="宋体" w:eastAsia="宋体"/>
          <w:b w:val="0"/>
          <w:sz w:val="24"/>
          <w:highlight w:val="none"/>
        </w:rPr>
        <w:t>管理人员、</w:t>
      </w:r>
      <w:r>
        <w:rPr>
          <w:rFonts w:hint="eastAsia"/>
          <w:b w:val="0"/>
          <w:sz w:val="24"/>
          <w:highlight w:val="none"/>
          <w:lang w:val="en-US" w:eastAsia="zh-CN"/>
        </w:rPr>
        <w:t>施工单位管理</w:t>
      </w:r>
      <w:r>
        <w:rPr>
          <w:rFonts w:ascii="宋体" w:hAnsi="宋体" w:eastAsia="宋体"/>
          <w:b w:val="0"/>
          <w:sz w:val="24"/>
          <w:highlight w:val="none"/>
        </w:rPr>
        <w:t>人员、审批人、验收人、结算审核人等，实现零星维修事项的全流程管理，主要功能包括：</w:t>
      </w:r>
    </w:p>
    <w:p w14:paraId="610ADBA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工单受理与派工：接收临床科室提交的零星维修申请并自动生成工单，完整展示申请内容、理由、地址、附件、申请人及申请时间；支持受理、派工并通知相关处理人员。</w:t>
      </w:r>
    </w:p>
    <w:p w14:paraId="4834B773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现场</w:t>
      </w:r>
      <w:r>
        <w:rPr>
          <w:rFonts w:hint="eastAsia"/>
          <w:b w:val="0"/>
          <w:sz w:val="24"/>
          <w:highlight w:val="none"/>
          <w:lang w:val="en-US" w:eastAsia="zh-CN"/>
        </w:rPr>
        <w:t>踏勘</w:t>
      </w:r>
      <w:r>
        <w:rPr>
          <w:rFonts w:ascii="宋体" w:hAnsi="宋体" w:eastAsia="宋体"/>
          <w:b w:val="0"/>
          <w:sz w:val="24"/>
          <w:highlight w:val="none"/>
        </w:rPr>
        <w:t>：</w:t>
      </w:r>
      <w:r>
        <w:rPr>
          <w:rFonts w:hint="eastAsia"/>
          <w:b w:val="0"/>
          <w:sz w:val="24"/>
          <w:highlight w:val="none"/>
          <w:lang w:val="en-US" w:eastAsia="zh-CN"/>
        </w:rPr>
        <w:t>物业管理科</w:t>
      </w:r>
      <w:r>
        <w:rPr>
          <w:rFonts w:ascii="宋体" w:hAnsi="宋体" w:eastAsia="宋体"/>
          <w:b w:val="0"/>
          <w:sz w:val="24"/>
          <w:highlight w:val="none"/>
        </w:rPr>
        <w:t>管理人员、</w:t>
      </w:r>
      <w:r>
        <w:rPr>
          <w:rFonts w:hint="eastAsia"/>
          <w:b w:val="0"/>
          <w:sz w:val="24"/>
          <w:highlight w:val="none"/>
          <w:lang w:val="en-US" w:eastAsia="zh-CN"/>
        </w:rPr>
        <w:t>施工单位管理</w:t>
      </w:r>
      <w:r>
        <w:rPr>
          <w:rFonts w:ascii="宋体" w:hAnsi="宋体" w:eastAsia="宋体"/>
          <w:b w:val="0"/>
          <w:sz w:val="24"/>
          <w:highlight w:val="none"/>
        </w:rPr>
        <w:t>人员到达现场</w:t>
      </w:r>
      <w:r>
        <w:rPr>
          <w:rFonts w:hint="eastAsia"/>
          <w:b w:val="0"/>
          <w:sz w:val="24"/>
          <w:highlight w:val="none"/>
          <w:lang w:val="en-US" w:eastAsia="zh-CN"/>
        </w:rPr>
        <w:t>踏勘</w:t>
      </w:r>
      <w:r>
        <w:rPr>
          <w:rFonts w:ascii="宋体" w:hAnsi="宋体" w:eastAsia="宋体"/>
          <w:b w:val="0"/>
          <w:sz w:val="24"/>
          <w:highlight w:val="none"/>
        </w:rPr>
        <w:t>维修事项，填写</w:t>
      </w:r>
      <w:r>
        <w:rPr>
          <w:rFonts w:hint="eastAsia"/>
          <w:b w:val="0"/>
          <w:sz w:val="24"/>
          <w:highlight w:val="none"/>
          <w:lang w:val="en-US" w:eastAsia="zh-CN"/>
        </w:rPr>
        <w:t>施工方案</w:t>
      </w:r>
      <w:r>
        <w:rPr>
          <w:rFonts w:ascii="宋体" w:hAnsi="宋体" w:eastAsia="宋体"/>
          <w:b w:val="0"/>
          <w:sz w:val="24"/>
          <w:highlight w:val="none"/>
        </w:rPr>
        <w:t>（预估工程量、材料需求、</w:t>
      </w:r>
      <w:r>
        <w:rPr>
          <w:rFonts w:hint="eastAsia"/>
          <w:b w:val="0"/>
          <w:sz w:val="24"/>
          <w:highlight w:val="none"/>
          <w:lang w:val="en-US" w:eastAsia="zh-CN"/>
        </w:rPr>
        <w:t>工程预算</w:t>
      </w:r>
      <w:r>
        <w:rPr>
          <w:rFonts w:ascii="宋体" w:hAnsi="宋体" w:eastAsia="宋体"/>
          <w:b w:val="0"/>
          <w:sz w:val="24"/>
          <w:highlight w:val="none"/>
        </w:rPr>
        <w:t>等），上传勘探照片与记录。</w:t>
      </w:r>
    </w:p>
    <w:p w14:paraId="07F643B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项目立项申请：对维修事项发起立项申请，填写立项依据、预算金额、工期等并提交审批；审批通过后进入实施环节，立项过程留痕可追溯。</w:t>
      </w:r>
    </w:p>
    <w:p w14:paraId="0D55EEA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施工管理：记录施工过程、施工人员、材料使用与施工进度等信息，支持施工进度跟踪与全过程留痕。</w:t>
      </w:r>
    </w:p>
    <w:p w14:paraId="6AC41DF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验收管理：施工完成后发起验收，记录验收情况、验收人、验收结果（通过/整改后通过/不通过），验收通过后生成并归档验收记录。</w:t>
      </w:r>
    </w:p>
    <w:p w14:paraId="404711A2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6. 结算管理：根据实际工程量、材料使用与合同约定进行结算，生成结算单，支持结算审核与确认。</w:t>
      </w:r>
    </w:p>
    <w:p w14:paraId="7C455B3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7. 资料与结算材料导出：支持按工单、按时间段、按科室等条件，一键导出指定工单的全过程资料（申请、</w:t>
      </w:r>
      <w:r>
        <w:rPr>
          <w:rFonts w:hint="eastAsia"/>
          <w:b w:val="0"/>
          <w:sz w:val="24"/>
          <w:highlight w:val="none"/>
          <w:lang w:val="en-US" w:eastAsia="zh-CN"/>
        </w:rPr>
        <w:t>踏勘</w:t>
      </w:r>
      <w:r>
        <w:rPr>
          <w:rFonts w:ascii="宋体" w:hAnsi="宋体" w:eastAsia="宋体"/>
          <w:b w:val="0"/>
          <w:sz w:val="24"/>
          <w:highlight w:val="none"/>
        </w:rPr>
        <w:t>、立项、施工、验收、结算</w:t>
      </w:r>
      <w:r>
        <w:rPr>
          <w:rFonts w:hint="eastAsia"/>
          <w:b w:val="0"/>
          <w:sz w:val="24"/>
          <w:highlight w:val="none"/>
          <w:lang w:eastAsia="zh-CN"/>
        </w:rPr>
        <w:t>、</w:t>
      </w:r>
      <w:r>
        <w:rPr>
          <w:rFonts w:hint="eastAsia"/>
          <w:b w:val="0"/>
          <w:sz w:val="24"/>
          <w:highlight w:val="none"/>
          <w:lang w:val="en-US" w:eastAsia="zh-CN"/>
        </w:rPr>
        <w:t>评价</w:t>
      </w:r>
      <w:r>
        <w:rPr>
          <w:rFonts w:ascii="宋体" w:hAnsi="宋体" w:eastAsia="宋体"/>
          <w:b w:val="0"/>
          <w:sz w:val="24"/>
          <w:highlight w:val="none"/>
        </w:rPr>
        <w:t>等各环节记录及附件）与结算材料，便于归档备查与财务结算，导出格式支持PDF、Word、Excel等。</w:t>
      </w:r>
    </w:p>
    <w:p w14:paraId="4F43BE5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8. 基础数据与审批流程管理：维护维修类型、科室信息、施工单位、材料字典等基础数据；配置立项审批流程、审批节点与审批人，支持审批流程灵活调整与审批记录留痕。</w:t>
      </w:r>
    </w:p>
    <w:p w14:paraId="117AED3F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（三）公共业务管控</w:t>
      </w:r>
    </w:p>
    <w:p w14:paraId="302D068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零星维修单管理系统应形成规范的业务流程与闭环管理机制，主要要求包括：</w:t>
      </w:r>
    </w:p>
    <w:p w14:paraId="22BAE84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全流程闭环：形成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申请—受理—</w:t>
      </w:r>
      <w:r>
        <w:rPr>
          <w:rFonts w:hint="eastAsia"/>
          <w:b w:val="0"/>
          <w:sz w:val="24"/>
          <w:highlight w:val="none"/>
          <w:lang w:val="en-US" w:eastAsia="zh-CN"/>
        </w:rPr>
        <w:t>踏勘</w:t>
      </w:r>
      <w:r>
        <w:rPr>
          <w:rFonts w:ascii="宋体" w:hAnsi="宋体" w:eastAsia="宋体"/>
          <w:b w:val="0"/>
          <w:sz w:val="24"/>
          <w:highlight w:val="none"/>
        </w:rPr>
        <w:t>—立项—施工—验收—结算</w:t>
      </w:r>
      <w:r>
        <w:rPr>
          <w:rFonts w:hint="eastAsia"/>
          <w:b w:val="0"/>
          <w:sz w:val="24"/>
          <w:highlight w:val="none"/>
          <w:lang w:eastAsia="zh-CN"/>
        </w:rPr>
        <w:t>—</w:t>
      </w:r>
      <w:r>
        <w:rPr>
          <w:rFonts w:hint="eastAsia"/>
          <w:b w:val="0"/>
          <w:sz w:val="24"/>
          <w:highlight w:val="none"/>
          <w:lang w:val="en-US" w:eastAsia="zh-CN"/>
        </w:rPr>
        <w:t>评价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完整业务闭环，各环节状态可跟踪、可查询、可追溯。</w:t>
      </w:r>
    </w:p>
    <w:p w14:paraId="707E49A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超时预警：对各环节设置处理时限，超时自动预警并升级通知相关管理人员。</w:t>
      </w:r>
    </w:p>
    <w:p w14:paraId="1586385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权限管理：按角色（临床科室申请人、受理人员、勘探人员、审批人、验收人、结算审核人等）分配功能权限与数据范围权限，支持按院区、部门设置数据范围。</w:t>
      </w:r>
    </w:p>
    <w:p w14:paraId="2E4E296A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操作留痕：全程记录各环节操作日志，关键操作不可篡改、可审计追溯。</w:t>
      </w:r>
    </w:p>
    <w:p w14:paraId="6BFA23F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统计报表：按工单数量、维修类型、科室、完成情况、结算金额等维度进行统计分析，支持自定义查询与导出。</w:t>
      </w:r>
    </w:p>
    <w:p w14:paraId="6861888F">
      <w:pPr>
        <w:spacing w:line="360" w:lineRule="auto"/>
        <w:ind w:firstLine="480"/>
        <w:rPr>
          <w:color w:val="auto"/>
          <w:highlight w:val="none"/>
        </w:rPr>
      </w:pPr>
      <w:r>
        <w:rPr>
          <w:rFonts w:ascii="宋体" w:hAnsi="宋体" w:eastAsia="宋体"/>
          <w:b w:val="0"/>
          <w:color w:val="auto"/>
          <w:sz w:val="24"/>
          <w:highlight w:val="none"/>
        </w:rPr>
        <w:t>零星维修单管理系统的系统集成与接口、非功能需求、实施与服务、报价要求等，参照本需求书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五、系统集成与接口能力</w:t>
      </w:r>
      <w:r>
        <w:rPr>
          <w:rFonts w:hint="eastAsia"/>
          <w:b w:val="0"/>
          <w:color w:val="auto"/>
          <w:sz w:val="24"/>
          <w:highlight w:val="none"/>
          <w:lang w:eastAsia="zh-CN"/>
        </w:rPr>
        <w:t>”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六、非功能需求</w:t>
      </w:r>
      <w:r>
        <w:rPr>
          <w:rFonts w:hint="eastAsia"/>
          <w:b w:val="0"/>
          <w:color w:val="auto"/>
          <w:sz w:val="24"/>
          <w:highlight w:val="none"/>
          <w:lang w:eastAsia="zh-CN"/>
        </w:rPr>
        <w:t>”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七、实施与服务要求</w:t>
      </w:r>
      <w:r>
        <w:rPr>
          <w:rFonts w:hint="eastAsia"/>
          <w:b w:val="0"/>
          <w:color w:val="auto"/>
          <w:sz w:val="24"/>
          <w:highlight w:val="none"/>
          <w:lang w:eastAsia="zh-CN"/>
        </w:rPr>
        <w:t>”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八、报价要求</w:t>
      </w:r>
      <w:r>
        <w:rPr>
          <w:rFonts w:hint="eastAsia"/>
          <w:b w:val="0"/>
          <w:color w:val="auto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及相应附件执行。</w:t>
      </w:r>
    </w:p>
    <w:p w14:paraId="469FF686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五、系统集成与接口能力（公共）</w:t>
      </w:r>
    </w:p>
    <w:p w14:paraId="443D305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统一身份认证：</w:t>
      </w:r>
      <w:r>
        <w:rPr>
          <w:rFonts w:hint="eastAsia" w:ascii="宋体" w:hAnsi="宋体" w:eastAsia="宋体"/>
          <w:b w:val="0"/>
          <w:sz w:val="24"/>
          <w:highlight w:val="none"/>
        </w:rPr>
        <w:t>支持对接医院现有统一身份平台，实现单点登录，人员、科室信息自动同步；医院无统一身份平台时支持本地账号维护</w:t>
      </w:r>
      <w:r>
        <w:rPr>
          <w:rFonts w:ascii="宋体" w:hAnsi="宋体" w:eastAsia="宋体"/>
          <w:b w:val="0"/>
          <w:sz w:val="24"/>
          <w:highlight w:val="none"/>
        </w:rPr>
        <w:t>；</w:t>
      </w:r>
    </w:p>
    <w:p w14:paraId="2233A26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即时通讯：对接医院实际使用的钉钉/微信</w:t>
      </w:r>
      <w:r>
        <w:rPr>
          <w:rFonts w:hint="eastAsia" w:ascii="宋体" w:hAnsi="宋体" w:eastAsia="宋体"/>
          <w:b w:val="0"/>
          <w:sz w:val="24"/>
          <w:highlight w:val="none"/>
        </w:rPr>
        <w:t>（以医院实际选择方式为准）</w:t>
      </w:r>
      <w:r>
        <w:rPr>
          <w:rFonts w:ascii="宋体" w:hAnsi="宋体" w:eastAsia="宋体"/>
          <w:b w:val="0"/>
          <w:sz w:val="24"/>
          <w:highlight w:val="none"/>
        </w:rPr>
        <w:t>，接收消息通知并打开移动端巡检页面；</w:t>
      </w:r>
    </w:p>
    <w:p w14:paraId="3B44F4A4">
      <w:pPr>
        <w:spacing w:line="360" w:lineRule="auto"/>
        <w:ind w:firstLine="480"/>
        <w:rPr>
          <w:highlight w:val="none"/>
        </w:rPr>
      </w:pPr>
      <w:r>
        <w:rPr>
          <w:rFonts w:hint="eastAsia"/>
          <w:b w:val="0"/>
          <w:sz w:val="24"/>
          <w:highlight w:val="none"/>
          <w:lang w:val="en-US" w:eastAsia="zh-CN"/>
        </w:rPr>
        <w:t>3</w:t>
      </w:r>
      <w:r>
        <w:rPr>
          <w:rFonts w:ascii="宋体" w:hAnsi="宋体" w:eastAsia="宋体"/>
          <w:b w:val="0"/>
          <w:sz w:val="24"/>
          <w:highlight w:val="none"/>
        </w:rPr>
        <w:t>. 标准数据交换：提供RESTful API、数据库视图或文件交换至少一种，便于后续系统对接；</w:t>
      </w:r>
    </w:p>
    <w:p w14:paraId="3AFE4475">
      <w:pPr>
        <w:spacing w:line="360" w:lineRule="auto"/>
        <w:ind w:firstLine="480"/>
        <w:rPr>
          <w:highlight w:val="none"/>
        </w:rPr>
      </w:pPr>
      <w:r>
        <w:rPr>
          <w:rFonts w:hint="eastAsia"/>
          <w:b w:val="0"/>
          <w:sz w:val="24"/>
          <w:highlight w:val="none"/>
          <w:lang w:val="en-US" w:eastAsia="zh-CN"/>
        </w:rPr>
        <w:t>4</w:t>
      </w:r>
      <w:r>
        <w:rPr>
          <w:rFonts w:ascii="宋体" w:hAnsi="宋体" w:eastAsia="宋体"/>
          <w:b w:val="0"/>
          <w:sz w:val="24"/>
          <w:highlight w:val="none"/>
        </w:rPr>
        <w:t>. 数据导出：业务数据支持Excel/CSV/JSON标准格式导出，不依赖厂商专有格式。</w:t>
      </w:r>
    </w:p>
    <w:p w14:paraId="0C8D249F">
      <w:pPr>
        <w:spacing w:line="360" w:lineRule="auto"/>
        <w:ind w:firstLine="480"/>
        <w:rPr>
          <w:highlight w:val="none"/>
        </w:rPr>
      </w:pPr>
      <w:r>
        <w:rPr>
          <w:rFonts w:hint="eastAsia"/>
          <w:b w:val="0"/>
          <w:sz w:val="24"/>
          <w:highlight w:val="none"/>
          <w:lang w:val="en-US" w:eastAsia="zh-CN"/>
        </w:rPr>
        <w:t>5</w:t>
      </w:r>
      <w:r>
        <w:rPr>
          <w:rFonts w:ascii="宋体" w:hAnsi="宋体" w:eastAsia="宋体"/>
          <w:b w:val="0"/>
          <w:sz w:val="24"/>
          <w:highlight w:val="none"/>
        </w:rPr>
        <w:t>. 预留接口：设备资产、楼宇自控（BAS）、室内定位平台等系统的对接按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如适用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原则预留标准接口，实施时结合医院实际情况确认。</w:t>
      </w:r>
    </w:p>
    <w:p w14:paraId="5A1A9FB3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六、非功能需求（公共）</w:t>
      </w:r>
    </w:p>
    <w:p w14:paraId="235AA76F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（一）性能需求</w:t>
      </w:r>
    </w:p>
    <w:p w14:paraId="230D821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移动端页面加载与操作响应时间≤3秒（正常网络环境）；后台报表查询响应时间≤10秒（百万级数据量）；</w:t>
      </w:r>
    </w:p>
    <w:p w14:paraId="52FD06F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系统支持并发在线用户数≥100人；</w:t>
      </w:r>
    </w:p>
    <w:p w14:paraId="73CA61A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巡检数据从移动端提交至后台可见的同步延迟≤5分钟；</w:t>
      </w:r>
    </w:p>
    <w:p w14:paraId="61A48698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系统年可用率≥99.5%。</w:t>
      </w:r>
    </w:p>
    <w:p w14:paraId="2538F2E8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（二）定位精度需求（仅子系统一：巡检系统适用）</w:t>
      </w:r>
    </w:p>
    <w:p w14:paraId="4DB9D01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室内蓝牙Beacon定位精度≤5米（房间级），关键区域≤3米；</w:t>
      </w:r>
    </w:p>
    <w:p w14:paraId="2D4E0AF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NFC触碰验证距离≤10cm，确保设备级精准验证；</w:t>
      </w:r>
    </w:p>
    <w:p w14:paraId="2383D34C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室外GPS/北斗定位精度≤10米；</w:t>
      </w:r>
    </w:p>
    <w:p w14:paraId="0CA8648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Beacon信号覆盖率≥95%（所有巡检区域），信号盲区以NFC补充；</w:t>
      </w:r>
    </w:p>
    <w:p w14:paraId="114EBE2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到场判定综合Beacon信号强度（RSSI≥设定阈值）+ 最短停留时长（≥10秒，可配置）双重验证，误判率≤1%（供应商须在响应文件中说明误判率的测试口径与方法）。</w:t>
      </w:r>
    </w:p>
    <w:p w14:paraId="5714F5A5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（三）安全需求</w:t>
      </w:r>
    </w:p>
    <w:p w14:paraId="3FE5D98C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数据传输采用HTTPS加密，敏感数据存储加密；</w:t>
      </w:r>
    </w:p>
    <w:p w14:paraId="4529414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权限分级控制，支持功能权限与数据范围权限；完整操作日志记录，关键操作不可篡改、可审计追溯；</w:t>
      </w:r>
    </w:p>
    <w:p w14:paraId="34DF9DC2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支持定期自动备份和灾难恢复，备份数据异地存储；</w:t>
      </w:r>
    </w:p>
    <w:p w14:paraId="17FC12F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移动端支持设备绑定，防止非授权设备登录；定位数据防伪造：Beacon MAC地址与安装位置绑定，异常信号（如强度突变、非工作时间出现）自动预警；</w:t>
      </w:r>
    </w:p>
    <w:p w14:paraId="1A739EB4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系统应符合医院信息安全管理相关要求。</w:t>
      </w:r>
    </w:p>
    <w:p w14:paraId="3164E86A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（四）部署与兼容性</w:t>
      </w:r>
    </w:p>
    <w:p w14:paraId="46F90BEF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支持私有化部署，部署于医院内网服务器，数据不出院；</w:t>
      </w:r>
    </w:p>
    <w:p w14:paraId="1053FBC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 xml:space="preserve">2. 移动端支持iOS、Android </w:t>
      </w:r>
      <w:r>
        <w:rPr>
          <w:rFonts w:hint="eastAsia"/>
          <w:b w:val="0"/>
          <w:sz w:val="24"/>
          <w:highlight w:val="none"/>
          <w:lang w:eastAsia="zh-CN"/>
        </w:rPr>
        <w:t>、</w:t>
      </w:r>
      <w:r>
        <w:rPr>
          <w:rFonts w:hint="eastAsia"/>
          <w:b w:val="0"/>
          <w:sz w:val="24"/>
          <w:highlight w:val="none"/>
          <w:lang w:val="en-US" w:eastAsia="zh-CN"/>
        </w:rPr>
        <w:t>鸿蒙等</w:t>
      </w:r>
      <w:r>
        <w:rPr>
          <w:rFonts w:ascii="宋体" w:hAnsi="宋体" w:eastAsia="宋体"/>
          <w:b w:val="0"/>
          <w:sz w:val="24"/>
          <w:highlight w:val="none"/>
        </w:rPr>
        <w:t>系统，支持蓝牙4.0及以上；</w:t>
      </w:r>
    </w:p>
    <w:p w14:paraId="547BC320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后台管理端支持Chrome、Edge、Firefox等主流浏览器，支持国产化操作系统和数据库适配（如适用）；</w:t>
      </w:r>
    </w:p>
    <w:p w14:paraId="5F3BE5D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系统架构应具备良好的可扩展性，支持后续院区扩展和功能模块增加；</w:t>
      </w:r>
    </w:p>
    <w:p w14:paraId="221DD4F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Beacon信标支持主流蓝牙协议（BLE 4.2/5.0），防护等级不低于IP65（防水防尘），电池续航≥2年（按日常广播频率测算）。</w:t>
      </w:r>
    </w:p>
    <w:p w14:paraId="09DA21FF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（五）易用性需求</w:t>
      </w:r>
    </w:p>
    <w:p w14:paraId="640B511A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移动端操作界面简洁，Beacon自动签到无需手动操作，巡检表单填写步骤不超过3步完成，适合戴手套或单手操作；</w:t>
      </w:r>
    </w:p>
    <w:p w14:paraId="567832D0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支持语音输入、拍照快速上传，减少现场文字输入；</w:t>
      </w:r>
    </w:p>
    <w:p w14:paraId="7EA5720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后台管理端界面直观，看板数据一目了然，常用操作不超过3次点击；</w:t>
      </w:r>
    </w:p>
    <w:p w14:paraId="7830E24F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提供操作指引和帮助文档，降低培训成本。</w:t>
      </w:r>
    </w:p>
    <w:p w14:paraId="5753DA19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七、实施与服务要求（公共）</w:t>
      </w:r>
    </w:p>
    <w:p w14:paraId="4DDB87E9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（一）项目实施</w:t>
      </w:r>
    </w:p>
    <w:p w14:paraId="5B9F88B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供应商制定项目实施计划，覆盖需求调研、系统配置、人员培训、试运行、正式上线等阶段；其中子系统一（巡检系统）另含现场勘测（Beacon点位规划）、Beacon安装调试、设备盘点与标签粘贴等阶段，明确各阶段时间节点和交付物；</w:t>
      </w:r>
    </w:p>
    <w:p w14:paraId="768E94A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实施周期原则上不超过90个日历日（自合同签订之日起至系统正式上线），其中子系统一Beacon现场勘测和安装调试不超过30日；</w:t>
      </w:r>
    </w:p>
    <w:p w14:paraId="5D4D90E4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供应商应配备项目经理、实施工程师、培训师等足够的项目团队人员；子系统一另需配备定位工程师。</w:t>
      </w:r>
    </w:p>
    <w:p w14:paraId="6F28DE95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（二）现场勘测与定位部署（仅子系统一：巡检系统适用）</w:t>
      </w:r>
    </w:p>
    <w:p w14:paraId="0B04D16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派员到各院区现场勘测，根据巡检路线和设备分布规划Beacon安装点位，输出《Beacon点位部署图》和《信标配置清单》；</w:t>
      </w:r>
    </w:p>
    <w:p w14:paraId="0A2E978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负责Beacon安装、调试和信号覆盖测试，确保所有巡检区域信号覆盖率≥95%；</w:t>
      </w:r>
    </w:p>
    <w:p w14:paraId="2A08ADB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负责NFC标签和二维码的制作、粘贴指导和关联配置；</w:t>
      </w:r>
    </w:p>
    <w:p w14:paraId="0DB5F12A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提供定位精度测试报告，验证室内定位精度满足需求。</w:t>
      </w:r>
    </w:p>
    <w:p w14:paraId="4154A34B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（三）数据初始化</w:t>
      </w:r>
    </w:p>
    <w:p w14:paraId="38A99452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协助医院完成设备台账的梳理、编码和导入（子系统一）；协助完成科室信息、维修类型等基础数据初始化（子系统二）；</w:t>
      </w:r>
    </w:p>
    <w:p w14:paraId="0400FCE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提供标准Excel导入模板，支持批量导入设备、巡检标准、人员、Beacon等信息；</w:t>
      </w:r>
    </w:p>
    <w:p w14:paraId="3CD0C97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负责设备二维码、NFC标签的生成、打印指导和粘贴培训（子系统一）。</w:t>
      </w:r>
    </w:p>
    <w:p w14:paraId="2723DD7D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（四）培训要求</w:t>
      </w:r>
    </w:p>
    <w:p w14:paraId="10FA2F92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面向系统管理员提供系统管理、配置维护、故障排查培训；子系统一另含Beacon运维培训；</w:t>
      </w:r>
    </w:p>
    <w:p w14:paraId="1DA522C6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面向后勤管理人员提供后台操作、监督管理、报表分析培训；</w:t>
      </w:r>
    </w:p>
    <w:p w14:paraId="060AA513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面向一线巡检人员提供移动端操作、Beacon自动签到、NFC触碰、扫码巡检、异常上报培训，确保人人会用（子系统一）；面向临床科室申请人员提供零星维修在线申请、进度跟踪操作培训（子系统二）；</w:t>
      </w:r>
    </w:p>
    <w:p w14:paraId="3E9D94D2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提供书面操作手册和视频教程，培训后进行考核。</w:t>
      </w:r>
    </w:p>
    <w:p w14:paraId="59B5EC81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（五）售后服务</w:t>
      </w:r>
    </w:p>
    <w:p w14:paraId="6CDF5AAE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系统正式上线后提供至少1年免费质保服务，质保期内免费修复系统缺陷和版本升级；</w:t>
      </w:r>
    </w:p>
    <w:p w14:paraId="04AB9C65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Beacon信本质保期≥1年，质保期内非人为损坏免费更换；提供电池更换指导和优惠供应（子系统一）；</w:t>
      </w:r>
    </w:p>
    <w:p w14:paraId="03BCD99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提供7×24小时技术支持热线，重大故障2小时内响应、4小时内给出解决方案；</w:t>
      </w:r>
    </w:p>
    <w:p w14:paraId="1DF5DB52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一般问题24小时内响应并处理；</w:t>
      </w:r>
    </w:p>
    <w:p w14:paraId="3D42D9FD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质保期满后可签订年度运维服务合同，运维费用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由供应商在调研响应中填报</w:t>
      </w:r>
      <w:r>
        <w:rPr>
          <w:rFonts w:ascii="宋体" w:hAnsi="宋体" w:eastAsia="宋体"/>
          <w:b w:val="0"/>
          <w:sz w:val="24"/>
          <w:highlight w:val="none"/>
        </w:rPr>
        <w:t>，不计入首期总价</w:t>
      </w:r>
      <w:r>
        <w:rPr>
          <w:rFonts w:ascii="宋体" w:hAnsi="宋体" w:eastAsia="宋体"/>
          <w:b w:val="0"/>
          <w:color w:val="auto"/>
          <w:sz w:val="24"/>
          <w:highlight w:val="none"/>
        </w:rPr>
        <w:t>。</w:t>
      </w:r>
    </w:p>
    <w:p w14:paraId="38B99D65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八、报价要求</w:t>
      </w:r>
    </w:p>
    <w:p w14:paraId="4F6E3E62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（一）报价总体要求</w:t>
      </w:r>
    </w:p>
    <w:p w14:paraId="317494C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本次报价为市场调研阶段报价，供医院编制预算与立项参考，不构成最终采购承诺；医院将根据调研结果对项目范围、内容与预算进行合理调整。</w:t>
      </w:r>
    </w:p>
    <w:p w14:paraId="16DE1EB6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报价币种为人民币，报价为含税价（含增值税）；</w:t>
      </w:r>
    </w:p>
    <w:p w14:paraId="6E734A6B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2. 报价须完整覆盖本需求书全部内容，凡未列入报价单但本需求书有要求的项目，视为已包含在总价中，供应商不得在项目实施中以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需求书未列明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为由另行收费；</w:t>
      </w:r>
    </w:p>
    <w:p w14:paraId="7F460407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实行分项报价，两套子系统分别小计，分项合计应与总价一致，金额保留两位小数；报价有效期不少于90个日历日；</w:t>
      </w:r>
    </w:p>
    <w:p w14:paraId="7825380A">
      <w:pPr>
        <w:spacing w:line="360" w:lineRule="auto"/>
        <w:ind w:firstLine="480"/>
        <w:outlineLvl w:val="2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质保期内（不少于1年）不收取软件维护、版本升级费用；</w:t>
      </w:r>
    </w:p>
    <w:p w14:paraId="6E8BDB64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5. 数量栏标注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以现场勘测为准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或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以设备盘点为准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的项，供应商按预估</w:t>
      </w:r>
      <w:r>
        <w:rPr>
          <w:rFonts w:hint="eastAsia"/>
          <w:b w:val="0"/>
          <w:sz w:val="24"/>
          <w:highlight w:val="none"/>
          <w:lang w:val="en-US" w:eastAsia="zh-CN"/>
        </w:rPr>
        <w:t>数量</w:t>
      </w:r>
      <w:r>
        <w:rPr>
          <w:rFonts w:ascii="宋体" w:hAnsi="宋体" w:eastAsia="宋体"/>
          <w:b w:val="0"/>
          <w:sz w:val="24"/>
          <w:highlight w:val="none"/>
        </w:rPr>
        <w:t>报价，</w:t>
      </w:r>
      <w:r>
        <w:rPr>
          <w:rFonts w:hint="eastAsia"/>
          <w:b w:val="0"/>
          <w:sz w:val="24"/>
          <w:highlight w:val="none"/>
          <w:lang w:val="en-US" w:eastAsia="zh-CN"/>
        </w:rPr>
        <w:t>按时结算，</w:t>
      </w:r>
      <w:r>
        <w:rPr>
          <w:rFonts w:ascii="宋体" w:hAnsi="宋体" w:eastAsia="宋体"/>
          <w:b w:val="0"/>
          <w:sz w:val="24"/>
          <w:highlight w:val="none"/>
        </w:rPr>
        <w:t>以</w:t>
      </w:r>
      <w:r>
        <w:rPr>
          <w:rFonts w:hint="eastAsia"/>
          <w:b w:val="0"/>
          <w:sz w:val="24"/>
          <w:highlight w:val="none"/>
          <w:lang w:val="en-US" w:eastAsia="zh-CN"/>
        </w:rPr>
        <w:t>实际使用数量</w:t>
      </w:r>
      <w:r>
        <w:rPr>
          <w:rFonts w:ascii="宋体" w:hAnsi="宋体" w:eastAsia="宋体"/>
          <w:b w:val="0"/>
          <w:sz w:val="24"/>
          <w:highlight w:val="none"/>
        </w:rPr>
        <w:t>为准，单价在合同期内锁定；</w:t>
      </w:r>
    </w:p>
    <w:p w14:paraId="2694C254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6. 报价应包括软件、硬件、安装调试、数据初始化、培训、验收配合等全部费用。</w:t>
      </w:r>
    </w:p>
    <w:p w14:paraId="5408CF2A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（二）报价范围说明</w:t>
      </w:r>
    </w:p>
    <w:p w14:paraId="3CF658F8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1. 软件平台按功能模块分项报价，模块划分见本需求书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附件3：市场调研报价表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；</w:t>
      </w:r>
    </w:p>
    <w:p w14:paraId="1E364564">
      <w:pPr>
        <w:spacing w:line="360" w:lineRule="auto"/>
        <w:ind w:firstLine="480"/>
        <w:rPr>
          <w:rFonts w:hint="eastAsia" w:eastAsia="宋体"/>
          <w:color w:val="FF0000"/>
          <w:highlight w:val="none"/>
          <w:lang w:val="en-US" w:eastAsia="zh-CN"/>
        </w:rPr>
      </w:pPr>
      <w:r>
        <w:rPr>
          <w:rFonts w:ascii="宋体" w:hAnsi="宋体" w:eastAsia="宋体"/>
          <w:b w:val="0"/>
          <w:sz w:val="24"/>
          <w:highlight w:val="none"/>
        </w:rPr>
        <w:t>2. 定位与标识硬件（Beacon信标、NFC标签、二维码标签）的数量以现场勘测与设备盘点结果为准，报价时须同时提供单价与安装费用；</w:t>
      </w:r>
    </w:p>
    <w:p w14:paraId="7032FD5F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3. 实施服务含现场勘测、点位部署、Beacon/NFC安装调试、数据初始化、标签粘贴、培训、验收配合；</w:t>
      </w:r>
    </w:p>
    <w:p w14:paraId="1CE17919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4. 质保期后年度运维服务费用单独报价（自愿项），不计入首期总价。</w:t>
      </w:r>
    </w:p>
    <w:p w14:paraId="0E0CF0A3">
      <w:pPr>
        <w:spacing w:before="120" w:after="60" w:line="360" w:lineRule="auto"/>
        <w:outlineLvl w:val="1"/>
        <w:rPr>
          <w:highlight w:val="none"/>
        </w:rPr>
      </w:pPr>
      <w:r>
        <w:rPr>
          <w:rFonts w:ascii="黑体" w:hAnsi="黑体" w:eastAsia="黑体"/>
          <w:b/>
          <w:sz w:val="24"/>
          <w:highlight w:val="none"/>
        </w:rPr>
        <w:t>（三）市场调研报价表</w:t>
      </w:r>
    </w:p>
    <w:p w14:paraId="7828E7E2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供应商须按</w:t>
      </w:r>
      <w:r>
        <w:rPr>
          <w:rFonts w:hint="default"/>
          <w:b w:val="0"/>
          <w:sz w:val="24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附件3：市场调研报价表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逐项填写报价，报价单须加盖公章后作为调研响应材料的组成部分提交。</w:t>
      </w:r>
    </w:p>
    <w:p w14:paraId="72C6AE46">
      <w:pPr>
        <w:rPr>
          <w:highlight w:val="none"/>
        </w:rPr>
      </w:pPr>
      <w:r>
        <w:rPr>
          <w:highlight w:val="none"/>
        </w:rPr>
        <w:br w:type="page"/>
      </w:r>
    </w:p>
    <w:p w14:paraId="479DDB7C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附件</w:t>
      </w:r>
      <w:r>
        <w:rPr>
          <w:rFonts w:hint="eastAsia" w:ascii="黑体" w:hAnsi="黑体" w:eastAsia="黑体"/>
          <w:b/>
          <w:sz w:val="28"/>
          <w:highlight w:val="none"/>
          <w:lang w:val="en-US" w:eastAsia="zh-CN"/>
        </w:rPr>
        <w:t>1</w:t>
      </w:r>
      <w:r>
        <w:rPr>
          <w:rFonts w:ascii="黑体" w:hAnsi="黑体" w:eastAsia="黑体"/>
          <w:b/>
          <w:sz w:val="28"/>
          <w:highlight w:val="none"/>
        </w:rPr>
        <w:t>：用户需求清单响应表</w:t>
      </w:r>
    </w:p>
    <w:p w14:paraId="4DE35C2A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  <w:r>
        <w:rPr>
          <w:rFonts w:ascii="宋体" w:hAnsi="宋体" w:eastAsia="宋体"/>
          <w:b w:val="0"/>
          <w:sz w:val="21"/>
          <w:highlight w:val="none"/>
        </w:rPr>
        <w:t>注：供应商须在</w:t>
      </w:r>
      <w:r>
        <w:rPr>
          <w:rFonts w:hint="default" w:ascii="宋体" w:hAnsi="宋体" w:eastAsia="宋体"/>
          <w:b w:val="0"/>
          <w:sz w:val="21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1"/>
          <w:highlight w:val="none"/>
        </w:rPr>
        <w:t>是否响应</w:t>
      </w:r>
      <w:r>
        <w:rPr>
          <w:rFonts w:hint="eastAsia" w:ascii="宋体" w:hAnsi="宋体" w:eastAsia="宋体"/>
          <w:b w:val="0"/>
          <w:sz w:val="21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1"/>
          <w:highlight w:val="none"/>
        </w:rPr>
        <w:t>栏填写</w:t>
      </w:r>
      <w:r>
        <w:rPr>
          <w:rFonts w:hint="default" w:ascii="宋体" w:hAnsi="宋体" w:eastAsia="宋体"/>
          <w:b w:val="0"/>
          <w:sz w:val="21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1"/>
          <w:highlight w:val="none"/>
        </w:rPr>
        <w:t>完全满足</w:t>
      </w:r>
      <w:r>
        <w:rPr>
          <w:rFonts w:hint="eastAsia" w:ascii="宋体" w:hAnsi="宋体" w:eastAsia="宋体"/>
          <w:b w:val="0"/>
          <w:sz w:val="21"/>
          <w:highlight w:val="none"/>
          <w:lang w:eastAsia="zh-CN"/>
        </w:rPr>
        <w:t>”</w:t>
      </w:r>
      <w:r>
        <w:rPr>
          <w:rFonts w:hint="default" w:ascii="宋体" w:hAnsi="宋体" w:eastAsia="宋体"/>
          <w:b w:val="0"/>
          <w:sz w:val="21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1"/>
          <w:highlight w:val="none"/>
        </w:rPr>
        <w:t>部分满足</w:t>
      </w:r>
      <w:r>
        <w:rPr>
          <w:rFonts w:hint="eastAsia" w:ascii="宋体" w:hAnsi="宋体" w:eastAsia="宋体"/>
          <w:b w:val="0"/>
          <w:sz w:val="21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1"/>
          <w:highlight w:val="none"/>
        </w:rPr>
        <w:t>或</w:t>
      </w:r>
      <w:r>
        <w:rPr>
          <w:rFonts w:hint="default" w:ascii="宋体" w:hAnsi="宋体" w:eastAsia="宋体"/>
          <w:b w:val="0"/>
          <w:sz w:val="21"/>
          <w:highlight w:val="none"/>
          <w:lang w:val="en-US" w:eastAsia="zh-CN"/>
        </w:rPr>
        <w:t>“</w:t>
      </w:r>
      <w:r>
        <w:rPr>
          <w:rFonts w:ascii="宋体" w:hAnsi="宋体" w:eastAsia="宋体"/>
          <w:b w:val="0"/>
          <w:sz w:val="21"/>
          <w:highlight w:val="none"/>
        </w:rPr>
        <w:t>不满足</w:t>
      </w:r>
      <w:r>
        <w:rPr>
          <w:rFonts w:hint="eastAsia" w:ascii="宋体" w:hAnsi="宋体" w:eastAsia="宋体"/>
          <w:b w:val="0"/>
          <w:sz w:val="21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1"/>
          <w:highlight w:val="none"/>
        </w:rPr>
        <w:t>，部分满足或不满足的须在响应文件中详细说明差异及替代方案。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496"/>
        <w:gridCol w:w="1619"/>
        <w:gridCol w:w="4026"/>
        <w:gridCol w:w="1066"/>
      </w:tblGrid>
      <w:tr w14:paraId="6A13A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456FE8E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序号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47F18A5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所属子系统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F64E6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需求项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AC5599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需求说明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6EC9F3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是否响应</w:t>
            </w:r>
          </w:p>
        </w:tc>
      </w:tr>
      <w:tr w14:paraId="1D703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B8CBCC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1587" w:type="dxa"/>
            <w:vAlign w:val="center"/>
          </w:tcPr>
          <w:p w14:paraId="6601665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7D0F8AB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设备分类与编码</w:t>
            </w:r>
          </w:p>
        </w:tc>
        <w:tc>
          <w:tcPr>
            <w:tcW w:w="4252" w:type="dxa"/>
            <w:vAlign w:val="center"/>
          </w:tcPr>
          <w:p w14:paraId="49EC158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建立院区—楼栋—楼层—区域—设备统一层级编码；设备分类涵盖医用气体、空调、给排水、供配电、机房等类别；每台设备唯一编码并生成二维码/NFC标签。</w:t>
            </w:r>
          </w:p>
        </w:tc>
        <w:tc>
          <w:tcPr>
            <w:tcW w:w="1134" w:type="dxa"/>
            <w:vAlign w:val="center"/>
          </w:tcPr>
          <w:p w14:paraId="38EEE52C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41E4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6EF8B74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</w:t>
            </w:r>
          </w:p>
        </w:tc>
        <w:tc>
          <w:tcPr>
            <w:tcW w:w="1587" w:type="dxa"/>
            <w:vAlign w:val="center"/>
          </w:tcPr>
          <w:p w14:paraId="216DBC5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25FB26D9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设备台账管理</w:t>
            </w:r>
          </w:p>
        </w:tc>
        <w:tc>
          <w:tcPr>
            <w:tcW w:w="4252" w:type="dxa"/>
            <w:vAlign w:val="center"/>
          </w:tcPr>
          <w:p w14:paraId="61E9E687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维护设备名称、编码、类型、型号、位置、投用日期、厂家、维保单位、责任人、状态等；支持附件档案（图纸、说明书、维保记录）；保留创建和更新时间。</w:t>
            </w:r>
          </w:p>
        </w:tc>
        <w:tc>
          <w:tcPr>
            <w:tcW w:w="1134" w:type="dxa"/>
            <w:vAlign w:val="center"/>
          </w:tcPr>
          <w:p w14:paraId="2C22D6CF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34A0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C5C6E6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</w:t>
            </w:r>
          </w:p>
        </w:tc>
        <w:tc>
          <w:tcPr>
            <w:tcW w:w="1587" w:type="dxa"/>
            <w:vAlign w:val="center"/>
          </w:tcPr>
          <w:p w14:paraId="739C1FC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698B5F34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巡检标准库</w:t>
            </w:r>
          </w:p>
        </w:tc>
        <w:tc>
          <w:tcPr>
            <w:tcW w:w="4252" w:type="dxa"/>
            <w:vAlign w:val="center"/>
          </w:tcPr>
          <w:p w14:paraId="63973CFB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按设备类型配置巡检项目、判定标准、阈值、周期；支持数值型、状态型、描述型巡检项；支持标准版本管理和批量应用。</w:t>
            </w:r>
          </w:p>
        </w:tc>
        <w:tc>
          <w:tcPr>
            <w:tcW w:w="1134" w:type="dxa"/>
            <w:vAlign w:val="center"/>
          </w:tcPr>
          <w:p w14:paraId="1ACB1A1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7AFFA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436E10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4</w:t>
            </w:r>
          </w:p>
        </w:tc>
        <w:tc>
          <w:tcPr>
            <w:tcW w:w="1587" w:type="dxa"/>
            <w:vAlign w:val="center"/>
          </w:tcPr>
          <w:p w14:paraId="7A25039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569F1773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巡检路线配置</w:t>
            </w:r>
          </w:p>
        </w:tc>
        <w:tc>
          <w:tcPr>
            <w:tcW w:w="4252" w:type="dxa"/>
            <w:vAlign w:val="center"/>
          </w:tcPr>
          <w:p w14:paraId="558EDE28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按区域/楼栋规划巡检路线，路线包含有序巡检点；每个巡检点关联设备、巡检项目及定位信标（Beacon/NFC）；支持路线编辑和复制。</w:t>
            </w:r>
          </w:p>
        </w:tc>
        <w:tc>
          <w:tcPr>
            <w:tcW w:w="1134" w:type="dxa"/>
            <w:vAlign w:val="center"/>
          </w:tcPr>
          <w:p w14:paraId="60C26A3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2D06B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894514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5</w:t>
            </w:r>
          </w:p>
        </w:tc>
        <w:tc>
          <w:tcPr>
            <w:tcW w:w="1587" w:type="dxa"/>
            <w:vAlign w:val="center"/>
          </w:tcPr>
          <w:p w14:paraId="414FBFE3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33D7277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排班管理</w:t>
            </w:r>
          </w:p>
        </w:tc>
        <w:tc>
          <w:tcPr>
            <w:tcW w:w="4252" w:type="dxa"/>
            <w:vAlign w:val="center"/>
          </w:tcPr>
          <w:p w14:paraId="29B8A365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支持班组管理、人员维护、按日/周排班；支持轮班、替班、加班；排班与巡检任务自动关联。</w:t>
            </w:r>
          </w:p>
        </w:tc>
        <w:tc>
          <w:tcPr>
            <w:tcW w:w="1134" w:type="dxa"/>
            <w:vAlign w:val="center"/>
          </w:tcPr>
          <w:p w14:paraId="2D069FE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00DD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2215107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6</w:t>
            </w:r>
          </w:p>
        </w:tc>
        <w:tc>
          <w:tcPr>
            <w:tcW w:w="1587" w:type="dxa"/>
            <w:vAlign w:val="center"/>
          </w:tcPr>
          <w:p w14:paraId="395EF65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096DB3D9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任务自动生成</w:t>
            </w:r>
          </w:p>
        </w:tc>
        <w:tc>
          <w:tcPr>
            <w:tcW w:w="4252" w:type="dxa"/>
            <w:vAlign w:val="center"/>
          </w:tcPr>
          <w:p w14:paraId="12165150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根据巡检标准和周期自动生成周期性巡检任务，按排班派发；支持手动创建临时任务；支持任务改派、延期、取消。</w:t>
            </w:r>
          </w:p>
        </w:tc>
        <w:tc>
          <w:tcPr>
            <w:tcW w:w="1134" w:type="dxa"/>
            <w:vAlign w:val="center"/>
          </w:tcPr>
          <w:p w14:paraId="0F51C6B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84E0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6511F7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7</w:t>
            </w:r>
          </w:p>
        </w:tc>
        <w:tc>
          <w:tcPr>
            <w:tcW w:w="1587" w:type="dxa"/>
            <w:vAlign w:val="center"/>
          </w:tcPr>
          <w:p w14:paraId="1ABD998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303806C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移动端扫码/NFC巡检</w:t>
            </w:r>
          </w:p>
        </w:tc>
        <w:tc>
          <w:tcPr>
            <w:tcW w:w="4252" w:type="dxa"/>
            <w:vAlign w:val="center"/>
          </w:tcPr>
          <w:p w14:paraId="51F73E9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扫描二维码或读取NFC自动调出巡检表单；未完成到场验证不得提交；支持数值录入、状态选择、文字描述、拍照（带时间水印和定位信息）、语音备注；数值超阈值自动预警。巡检表单填写步骤不超过3步完成，适合戴手套或单手操作。</w:t>
            </w:r>
          </w:p>
        </w:tc>
        <w:tc>
          <w:tcPr>
            <w:tcW w:w="1134" w:type="dxa"/>
            <w:vAlign w:val="center"/>
          </w:tcPr>
          <w:p w14:paraId="7F243FDE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7357D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1ECB45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8</w:t>
            </w:r>
          </w:p>
        </w:tc>
        <w:tc>
          <w:tcPr>
            <w:tcW w:w="1587" w:type="dxa"/>
            <w:vAlign w:val="center"/>
          </w:tcPr>
          <w:p w14:paraId="11F05E8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1109DD87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多技术融合精准定位签到</w:t>
            </w:r>
          </w:p>
        </w:tc>
        <w:tc>
          <w:tcPr>
            <w:tcW w:w="4252" w:type="dxa"/>
            <w:vAlign w:val="center"/>
          </w:tcPr>
          <w:p w14:paraId="36BB7CDB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蓝牙Beacon为主（室内精度≤5米、关键区域≤3米，自动签到）、NFC触碰为辅（≤10cm设备级验证）；通过Beacon唯一MAC+信号强度(RSSI)+最短停留时长综合判定真实到场，防代检防远程打卡；信号盲区NFC兜底。</w:t>
            </w:r>
          </w:p>
        </w:tc>
        <w:tc>
          <w:tcPr>
            <w:tcW w:w="1134" w:type="dxa"/>
            <w:vAlign w:val="center"/>
          </w:tcPr>
          <w:p w14:paraId="31E4617C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5A36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38D4917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9</w:t>
            </w:r>
          </w:p>
        </w:tc>
        <w:tc>
          <w:tcPr>
            <w:tcW w:w="1587" w:type="dxa"/>
            <w:vAlign w:val="center"/>
          </w:tcPr>
          <w:p w14:paraId="3489289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69138A0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蓝牙Beacon基础设施</w:t>
            </w:r>
          </w:p>
        </w:tc>
        <w:tc>
          <w:tcPr>
            <w:tcW w:w="4252" w:type="dxa"/>
            <w:vAlign w:val="center"/>
          </w:tcPr>
          <w:p w14:paraId="1C52ACEA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所有巡检区域部署低功耗蓝牙Beacon，IP65防水防尘，电池续航≥2年（按日常广播频率测算）；信号覆盖率≥95%；支持低电量预警和故障告警；输出点位部署图和精度测试报告。</w:t>
            </w:r>
          </w:p>
        </w:tc>
        <w:tc>
          <w:tcPr>
            <w:tcW w:w="1134" w:type="dxa"/>
            <w:vAlign w:val="center"/>
          </w:tcPr>
          <w:p w14:paraId="2F776165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4DB0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18B447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10</w:t>
            </w:r>
          </w:p>
        </w:tc>
        <w:tc>
          <w:tcPr>
            <w:tcW w:w="1587" w:type="dxa"/>
            <w:vAlign w:val="center"/>
          </w:tcPr>
          <w:p w14:paraId="3D8C881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17B50FE6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定位信标管理</w:t>
            </w:r>
          </w:p>
        </w:tc>
        <w:tc>
          <w:tcPr>
            <w:tcW w:w="4252" w:type="dxa"/>
            <w:vAlign w:val="center"/>
          </w:tcPr>
          <w:p w14:paraId="76DDC03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后台统一管理Beacon/NFC编号、安装位置、所属巡检点、电量、状态；低电量自动预警、故障告警；按院区统计覆盖率、在线率、故障率。</w:t>
            </w:r>
          </w:p>
        </w:tc>
        <w:tc>
          <w:tcPr>
            <w:tcW w:w="1134" w:type="dxa"/>
            <w:vAlign w:val="center"/>
          </w:tcPr>
          <w:p w14:paraId="52A00BD1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6400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B0E7DB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11</w:t>
            </w:r>
          </w:p>
        </w:tc>
        <w:tc>
          <w:tcPr>
            <w:tcW w:w="1587" w:type="dxa"/>
            <w:vAlign w:val="center"/>
          </w:tcPr>
          <w:p w14:paraId="014C41F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400746F2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离线巡检</w:t>
            </w:r>
          </w:p>
        </w:tc>
        <w:tc>
          <w:tcPr>
            <w:tcW w:w="4252" w:type="dxa"/>
            <w:vAlign w:val="center"/>
          </w:tcPr>
          <w:p w14:paraId="3FA7CF2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支持网络不佳区域离线巡检，数据和定位记录本地缓存，联网后自动同步；离线期间可扫码、NFC读取、填写、拍照。</w:t>
            </w:r>
          </w:p>
        </w:tc>
        <w:tc>
          <w:tcPr>
            <w:tcW w:w="1134" w:type="dxa"/>
            <w:vAlign w:val="center"/>
          </w:tcPr>
          <w:p w14:paraId="60B31D05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778DE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6F0219D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12</w:t>
            </w:r>
          </w:p>
        </w:tc>
        <w:tc>
          <w:tcPr>
            <w:tcW w:w="1587" w:type="dxa"/>
            <w:vAlign w:val="center"/>
          </w:tcPr>
          <w:p w14:paraId="3B10D79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0D0AC9C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异常上报</w:t>
            </w:r>
          </w:p>
        </w:tc>
        <w:tc>
          <w:tcPr>
            <w:tcW w:w="4252" w:type="dxa"/>
            <w:vAlign w:val="center"/>
          </w:tcPr>
          <w:p w14:paraId="0022310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现场即时上报异常，选择类型、严重等级（一般/重要/紧</w:t>
            </w:r>
            <w:r>
              <w:rPr>
                <w:rFonts w:ascii="宋体" w:hAnsi="宋体" w:eastAsia="宋体"/>
                <w:b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急），填写描述、拍照/录像；紧急异常自动推送管理人员</w:t>
            </w:r>
            <w:r>
              <w:rPr>
                <w:rFonts w:hint="eastAsia"/>
                <w:b w:val="0"/>
                <w:color w:val="000000" w:themeColor="text1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/>
                <w:b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与医院现有AI后勤客服系统对接</w:t>
            </w:r>
            <w:r>
              <w:rPr>
                <w:rFonts w:ascii="宋体" w:hAnsi="宋体" w:eastAsia="宋体"/>
                <w:b w:val="0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34" w:type="dxa"/>
            <w:vAlign w:val="center"/>
          </w:tcPr>
          <w:p w14:paraId="1E37E8F5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C50D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535EF8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13</w:t>
            </w:r>
          </w:p>
        </w:tc>
        <w:tc>
          <w:tcPr>
            <w:tcW w:w="1587" w:type="dxa"/>
            <w:vAlign w:val="center"/>
          </w:tcPr>
          <w:p w14:paraId="209EC04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4E431CE6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异常工单管理</w:t>
            </w:r>
          </w:p>
        </w:tc>
        <w:tc>
          <w:tcPr>
            <w:tcW w:w="4252" w:type="dxa"/>
            <w:vAlign w:val="center"/>
          </w:tcPr>
          <w:p w14:paraId="5633599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异常自动生成工单，支持自动/手动派单；全流程跟踪（接单→处理→验收→关闭）；处理记录含措施、配件、照片、耗时；超时预警升级。</w:t>
            </w:r>
          </w:p>
        </w:tc>
        <w:tc>
          <w:tcPr>
            <w:tcW w:w="1134" w:type="dxa"/>
            <w:vAlign w:val="center"/>
          </w:tcPr>
          <w:p w14:paraId="46A0859E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75E1F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C6AD03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14</w:t>
            </w:r>
          </w:p>
        </w:tc>
        <w:tc>
          <w:tcPr>
            <w:tcW w:w="1587" w:type="dxa"/>
            <w:vAlign w:val="center"/>
          </w:tcPr>
          <w:p w14:paraId="7E6749F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0E7E75B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实时监控看板</w:t>
            </w:r>
          </w:p>
        </w:tc>
        <w:tc>
          <w:tcPr>
            <w:tcW w:w="4252" w:type="dxa"/>
            <w:vAlign w:val="center"/>
          </w:tcPr>
          <w:p w14:paraId="61B24934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全局总览（在巡人员、任务进度、异常数）；基于Beacon定位的人员实时位置地图/楼层图展示；异常告警滚动展示；任务进度可视化。</w:t>
            </w:r>
          </w:p>
        </w:tc>
        <w:tc>
          <w:tcPr>
            <w:tcW w:w="1134" w:type="dxa"/>
            <w:vAlign w:val="center"/>
          </w:tcPr>
          <w:p w14:paraId="78608793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407C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7829AA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15</w:t>
            </w:r>
          </w:p>
        </w:tc>
        <w:tc>
          <w:tcPr>
            <w:tcW w:w="1587" w:type="dxa"/>
            <w:vAlign w:val="center"/>
          </w:tcPr>
          <w:p w14:paraId="6E99CCD5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1FF6B833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巡检轨迹回放</w:t>
            </w:r>
          </w:p>
        </w:tc>
        <w:tc>
          <w:tcPr>
            <w:tcW w:w="4252" w:type="dxa"/>
            <w:vAlign w:val="center"/>
          </w:tcPr>
          <w:p w14:paraId="127F907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基于蓝牙Beacon定位数据按人员/日期回放全程轨迹，查看各区域到达时间、停留时长、巡检顺序；精度达房间级，识别跳检、绕检。</w:t>
            </w:r>
          </w:p>
        </w:tc>
        <w:tc>
          <w:tcPr>
            <w:tcW w:w="1134" w:type="dxa"/>
            <w:vAlign w:val="center"/>
          </w:tcPr>
          <w:p w14:paraId="19D408F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9AE6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49C58E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16</w:t>
            </w:r>
          </w:p>
        </w:tc>
        <w:tc>
          <w:tcPr>
            <w:tcW w:w="1587" w:type="dxa"/>
            <w:vAlign w:val="center"/>
          </w:tcPr>
          <w:p w14:paraId="12D3281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20D217D5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巡检到位率监督</w:t>
            </w:r>
          </w:p>
        </w:tc>
        <w:tc>
          <w:tcPr>
            <w:tcW w:w="4252" w:type="dxa"/>
            <w:vAlign w:val="center"/>
          </w:tcPr>
          <w:p w14:paraId="3946A92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自动统计应检/实检/漏检点位数，结合信号强度和停留时长识别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“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路过未停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”“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疑似代检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”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；按日/周/月、人员/班组/区域多维统计；可疑行为自动预警。</w:t>
            </w:r>
          </w:p>
        </w:tc>
        <w:tc>
          <w:tcPr>
            <w:tcW w:w="1134" w:type="dxa"/>
            <w:vAlign w:val="center"/>
          </w:tcPr>
          <w:p w14:paraId="63E723B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261ED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5D47BC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17</w:t>
            </w:r>
          </w:p>
        </w:tc>
        <w:tc>
          <w:tcPr>
            <w:tcW w:w="1587" w:type="dxa"/>
            <w:vAlign w:val="center"/>
          </w:tcPr>
          <w:p w14:paraId="1AA4F48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57ADD425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巡检质量审核</w:t>
            </w:r>
          </w:p>
        </w:tc>
        <w:tc>
          <w:tcPr>
            <w:tcW w:w="4252" w:type="dxa"/>
            <w:vAlign w:val="center"/>
          </w:tcPr>
          <w:p w14:paraId="6526B3B0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管理人员抽查巡检记录，核查完整性、照片真实性（含时间水印和定位）；不合格记录可退回重检；审核记录留痕。</w:t>
            </w:r>
          </w:p>
        </w:tc>
        <w:tc>
          <w:tcPr>
            <w:tcW w:w="1134" w:type="dxa"/>
            <w:vAlign w:val="center"/>
          </w:tcPr>
          <w:p w14:paraId="5FE3C873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5FA2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639D168D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18</w:t>
            </w:r>
          </w:p>
        </w:tc>
        <w:tc>
          <w:tcPr>
            <w:tcW w:w="1587" w:type="dxa"/>
            <w:vAlign w:val="center"/>
          </w:tcPr>
          <w:p w14:paraId="313BFCF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6F384CC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统计分析报表</w:t>
            </w:r>
          </w:p>
        </w:tc>
        <w:tc>
          <w:tcPr>
            <w:tcW w:w="4252" w:type="dxa"/>
            <w:vAlign w:val="center"/>
          </w:tcPr>
          <w:p w14:paraId="1C5B21F0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巡检完成率、到位率、异常统计、工单时效、设备健康度、人员绩效等多维度报表；支持自定义查询、图表展示、Excel/PDF导出。</w:t>
            </w:r>
          </w:p>
        </w:tc>
        <w:tc>
          <w:tcPr>
            <w:tcW w:w="1134" w:type="dxa"/>
            <w:vAlign w:val="center"/>
          </w:tcPr>
          <w:p w14:paraId="69B8FE87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5E54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C9FB2A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19</w:t>
            </w:r>
          </w:p>
        </w:tc>
        <w:tc>
          <w:tcPr>
            <w:tcW w:w="1587" w:type="dxa"/>
            <w:vAlign w:val="center"/>
          </w:tcPr>
          <w:p w14:paraId="594C895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7121FF78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数据看板</w:t>
            </w:r>
          </w:p>
        </w:tc>
        <w:tc>
          <w:tcPr>
            <w:tcW w:w="4252" w:type="dxa"/>
            <w:vAlign w:val="center"/>
          </w:tcPr>
          <w:p w14:paraId="2A29E7F0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可视化数据看板，支持图表联动和下钻分析；可按院区、楼栋、设备类型等维度切换。</w:t>
            </w:r>
          </w:p>
        </w:tc>
        <w:tc>
          <w:tcPr>
            <w:tcW w:w="1134" w:type="dxa"/>
            <w:vAlign w:val="center"/>
          </w:tcPr>
          <w:p w14:paraId="7726242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685B7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F5EDAB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20</w:t>
            </w:r>
          </w:p>
        </w:tc>
        <w:tc>
          <w:tcPr>
            <w:tcW w:w="1587" w:type="dxa"/>
            <w:vAlign w:val="center"/>
          </w:tcPr>
          <w:p w14:paraId="75F1F963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0207282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消息通知</w:t>
            </w:r>
          </w:p>
        </w:tc>
        <w:tc>
          <w:tcPr>
            <w:tcW w:w="4252" w:type="dxa"/>
            <w:vAlign w:val="center"/>
          </w:tcPr>
          <w:p w14:paraId="4439C85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任务提醒、到期预警、异常催办、工单通知；支持APP推送、短信</w:t>
            </w:r>
            <w:r>
              <w:rPr>
                <w:rFonts w:ascii="宋体" w:hAnsi="宋体" w:eastAsia="宋体"/>
                <w:b w:val="0"/>
                <w:color w:val="auto"/>
                <w:sz w:val="21"/>
                <w:highlight w:val="none"/>
              </w:rPr>
              <w:t>、</w:t>
            </w:r>
            <w:r>
              <w:rPr>
                <w:rFonts w:hint="eastAsia" w:ascii="宋体" w:hAnsi="宋体" w:eastAsia="宋体"/>
                <w:b w:val="0"/>
                <w:color w:val="auto"/>
                <w:sz w:val="21"/>
                <w:highlight w:val="none"/>
              </w:rPr>
              <w:t>钉钉/微信（以医院实际选择方式为准）</w:t>
            </w:r>
            <w:r>
              <w:rPr>
                <w:rFonts w:ascii="宋体" w:hAnsi="宋体" w:eastAsia="宋体"/>
                <w:b w:val="0"/>
                <w:color w:val="auto"/>
                <w:sz w:val="21"/>
                <w:highlight w:val="none"/>
              </w:rPr>
              <w:t>。</w:t>
            </w:r>
          </w:p>
        </w:tc>
        <w:tc>
          <w:tcPr>
            <w:tcW w:w="1134" w:type="dxa"/>
            <w:vAlign w:val="center"/>
          </w:tcPr>
          <w:p w14:paraId="128FA445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93A7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0BD0725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21</w:t>
            </w:r>
          </w:p>
        </w:tc>
        <w:tc>
          <w:tcPr>
            <w:tcW w:w="1587" w:type="dxa"/>
            <w:vAlign w:val="center"/>
          </w:tcPr>
          <w:p w14:paraId="725C7AB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769654D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用户权限与日志</w:t>
            </w:r>
          </w:p>
        </w:tc>
        <w:tc>
          <w:tcPr>
            <w:tcW w:w="4252" w:type="dxa"/>
            <w:vAlign w:val="center"/>
          </w:tcPr>
          <w:p w14:paraId="3517F73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按角色、院区、部门、数据范围授权；记录登录、查询、新增、修改、删除、导入导出、派单、验收等操作日志。</w:t>
            </w:r>
          </w:p>
        </w:tc>
        <w:tc>
          <w:tcPr>
            <w:tcW w:w="1134" w:type="dxa"/>
            <w:vAlign w:val="center"/>
          </w:tcPr>
          <w:p w14:paraId="0E3BCF4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0CAA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E00386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22</w:t>
            </w:r>
          </w:p>
        </w:tc>
        <w:tc>
          <w:tcPr>
            <w:tcW w:w="1587" w:type="dxa"/>
            <w:vAlign w:val="center"/>
          </w:tcPr>
          <w:p w14:paraId="1FBC2F4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子系统一（巡检系统）</w:t>
            </w:r>
          </w:p>
        </w:tc>
        <w:tc>
          <w:tcPr>
            <w:tcW w:w="1701" w:type="dxa"/>
            <w:vAlign w:val="center"/>
          </w:tcPr>
          <w:p w14:paraId="67E20E8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批量导入导出</w:t>
            </w:r>
          </w:p>
        </w:tc>
        <w:tc>
          <w:tcPr>
            <w:tcW w:w="4252" w:type="dxa"/>
            <w:vAlign w:val="center"/>
          </w:tcPr>
          <w:p w14:paraId="2FD154E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提供标准Excel模板，支持设备、标准、人员、Beacon信标等批量导入，校验错误提示；全量数据导出不依赖厂商专有格式。</w:t>
            </w:r>
          </w:p>
        </w:tc>
        <w:tc>
          <w:tcPr>
            <w:tcW w:w="1134" w:type="dxa"/>
            <w:vAlign w:val="center"/>
          </w:tcPr>
          <w:p w14:paraId="0623E621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41DE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E55DE3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23</w:t>
            </w:r>
          </w:p>
        </w:tc>
        <w:tc>
          <w:tcPr>
            <w:tcW w:w="1587" w:type="dxa"/>
            <w:vAlign w:val="center"/>
          </w:tcPr>
          <w:p w14:paraId="17DF8C0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公共</w:t>
            </w:r>
          </w:p>
        </w:tc>
        <w:tc>
          <w:tcPr>
            <w:tcW w:w="1701" w:type="dxa"/>
            <w:vAlign w:val="center"/>
          </w:tcPr>
          <w:p w14:paraId="6F10334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系统集成接口</w:t>
            </w:r>
          </w:p>
        </w:tc>
        <w:tc>
          <w:tcPr>
            <w:tcW w:w="4252" w:type="dxa"/>
            <w:vAlign w:val="center"/>
          </w:tcPr>
          <w:p w14:paraId="08E4BB03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提供标准API（RESTful）、数据库视图或文件交换至少一种；支持对接医院SSO、OA/工单、设备资产、BAS、室内定位引擎、微信/钉钉等系统。</w:t>
            </w:r>
          </w:p>
        </w:tc>
        <w:tc>
          <w:tcPr>
            <w:tcW w:w="1134" w:type="dxa"/>
            <w:vAlign w:val="center"/>
          </w:tcPr>
          <w:p w14:paraId="777FF2A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0893F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F7DA36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24</w:t>
            </w:r>
          </w:p>
        </w:tc>
        <w:tc>
          <w:tcPr>
            <w:tcW w:w="1587" w:type="dxa"/>
            <w:vAlign w:val="center"/>
          </w:tcPr>
          <w:p w14:paraId="005313E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公共</w:t>
            </w:r>
          </w:p>
        </w:tc>
        <w:tc>
          <w:tcPr>
            <w:tcW w:w="1701" w:type="dxa"/>
            <w:vAlign w:val="center"/>
          </w:tcPr>
          <w:p w14:paraId="5056E7C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数据备份与安全</w:t>
            </w:r>
          </w:p>
        </w:tc>
        <w:tc>
          <w:tcPr>
            <w:tcW w:w="4252" w:type="dxa"/>
            <w:vAlign w:val="center"/>
          </w:tcPr>
          <w:p w14:paraId="44CBA7EA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定期自动备份和手动备份，备份异地存储；HTTPS传输加密，敏感数据存储加密；定位数据防伪造（Beacon MAC绑定+异常信号预警）；支持设备绑定；符合医院信息安全要求。</w:t>
            </w:r>
          </w:p>
        </w:tc>
        <w:tc>
          <w:tcPr>
            <w:tcW w:w="1134" w:type="dxa"/>
            <w:vAlign w:val="center"/>
          </w:tcPr>
          <w:p w14:paraId="5344F067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B11E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39960F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25</w:t>
            </w:r>
          </w:p>
        </w:tc>
        <w:tc>
          <w:tcPr>
            <w:tcW w:w="1587" w:type="dxa"/>
            <w:vAlign w:val="center"/>
          </w:tcPr>
          <w:p w14:paraId="677C2C6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公共</w:t>
            </w:r>
          </w:p>
        </w:tc>
        <w:tc>
          <w:tcPr>
            <w:tcW w:w="1701" w:type="dxa"/>
            <w:vAlign w:val="center"/>
          </w:tcPr>
          <w:p w14:paraId="70C560F5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私有化部署</w:t>
            </w:r>
          </w:p>
        </w:tc>
        <w:tc>
          <w:tcPr>
            <w:tcW w:w="4252" w:type="dxa"/>
            <w:vAlign w:val="center"/>
          </w:tcPr>
          <w:p w14:paraId="430AA043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支持部署于医院内网服务器，数据不出院；支持国产化适配；架构可扩展，支持多院区；移动端支持蓝牙4.0及以上。</w:t>
            </w:r>
          </w:p>
        </w:tc>
        <w:tc>
          <w:tcPr>
            <w:tcW w:w="1134" w:type="dxa"/>
            <w:vAlign w:val="center"/>
          </w:tcPr>
          <w:p w14:paraId="686F1EB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8E1A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3B10B82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26</w:t>
            </w:r>
          </w:p>
        </w:tc>
        <w:tc>
          <w:tcPr>
            <w:tcW w:w="1587" w:type="dxa"/>
            <w:vAlign w:val="center"/>
          </w:tcPr>
          <w:p w14:paraId="1DD54F3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公共</w:t>
            </w:r>
          </w:p>
        </w:tc>
        <w:tc>
          <w:tcPr>
            <w:tcW w:w="1701" w:type="dxa"/>
            <w:vAlign w:val="center"/>
          </w:tcPr>
          <w:p w14:paraId="3B5B85F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移动端兼容性</w:t>
            </w:r>
          </w:p>
        </w:tc>
        <w:tc>
          <w:tcPr>
            <w:tcW w:w="4252" w:type="dxa"/>
            <w:vAlign w:val="center"/>
          </w:tcPr>
          <w:p w14:paraId="184D162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支持iOS 12及以上、Android 8及以上</w:t>
            </w:r>
            <w:r>
              <w:rPr>
                <w:rFonts w:ascii="宋体" w:hAnsi="宋体" w:eastAsia="宋体"/>
                <w:b w:val="0"/>
                <w:color w:val="auto"/>
                <w:sz w:val="21"/>
                <w:highlight w:val="none"/>
              </w:rPr>
              <w:t>；支持APP和/或微信小程序（至少一种）。</w:t>
            </w:r>
          </w:p>
        </w:tc>
        <w:tc>
          <w:tcPr>
            <w:tcW w:w="1134" w:type="dxa"/>
            <w:vAlign w:val="center"/>
          </w:tcPr>
          <w:p w14:paraId="1EEE3BE7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26FA3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2AF8B112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27</w:t>
            </w:r>
          </w:p>
        </w:tc>
        <w:tc>
          <w:tcPr>
            <w:tcW w:w="1587" w:type="dxa"/>
            <w:vAlign w:val="center"/>
          </w:tcPr>
          <w:p w14:paraId="587457A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公共</w:t>
            </w:r>
          </w:p>
        </w:tc>
        <w:tc>
          <w:tcPr>
            <w:tcW w:w="1701" w:type="dxa"/>
            <w:vAlign w:val="center"/>
          </w:tcPr>
          <w:p w14:paraId="29386E43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实施与培训</w:t>
            </w:r>
          </w:p>
        </w:tc>
        <w:tc>
          <w:tcPr>
            <w:tcW w:w="4252" w:type="dxa"/>
            <w:vAlign w:val="center"/>
          </w:tcPr>
          <w:p w14:paraId="2F781A03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90日内完成实施上线（含Beacon勘测安装30日）；现场勘测输出点位部署图和精度测试报告；协助设备盘点编码和标签粘贴；提供管理员、管理人员、巡检人员分层培训和操作手册。</w:t>
            </w:r>
          </w:p>
        </w:tc>
        <w:tc>
          <w:tcPr>
            <w:tcW w:w="1134" w:type="dxa"/>
            <w:vAlign w:val="center"/>
          </w:tcPr>
          <w:p w14:paraId="3FE0A6F9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09DDA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98C879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28</w:t>
            </w:r>
          </w:p>
        </w:tc>
        <w:tc>
          <w:tcPr>
            <w:tcW w:w="1587" w:type="dxa"/>
            <w:vAlign w:val="center"/>
          </w:tcPr>
          <w:p w14:paraId="3E02AB9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公共</w:t>
            </w:r>
          </w:p>
        </w:tc>
        <w:tc>
          <w:tcPr>
            <w:tcW w:w="1701" w:type="dxa"/>
            <w:vAlign w:val="center"/>
          </w:tcPr>
          <w:p w14:paraId="3016CEBA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售后服务</w:t>
            </w:r>
          </w:p>
        </w:tc>
        <w:tc>
          <w:tcPr>
            <w:tcW w:w="4252" w:type="dxa"/>
            <w:vAlign w:val="center"/>
          </w:tcPr>
          <w:p w14:paraId="12325187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至少1年免费质保，Beacon质保≥1年；7×24小时技术支持；重大故障2小时响应、4小时给方案；一般问题24小时处理。质保期满后可签订年度运维服务合同，运维费用不超过合同金额的一定比例。</w:t>
            </w:r>
          </w:p>
        </w:tc>
        <w:tc>
          <w:tcPr>
            <w:tcW w:w="1134" w:type="dxa"/>
            <w:vAlign w:val="center"/>
          </w:tcPr>
          <w:p w14:paraId="1BF4CDF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0DB7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D2B78E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29</w:t>
            </w:r>
          </w:p>
        </w:tc>
        <w:tc>
          <w:tcPr>
            <w:tcW w:w="1587" w:type="dxa"/>
            <w:vAlign w:val="center"/>
          </w:tcPr>
          <w:p w14:paraId="2B3AFAE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0DB8958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零星维修在线申请</w:t>
            </w:r>
          </w:p>
        </w:tc>
        <w:tc>
          <w:tcPr>
            <w:tcW w:w="4252" w:type="dxa"/>
            <w:vAlign w:val="center"/>
          </w:tcPr>
          <w:p w14:paraId="5077187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临床科室在线发起零星维修申请，填写申请内容（维修事项描述）、申请理由、具体地址（院区/楼栋/楼层/房间），上传必要附件（现场照片、相关单据等）；支持申请提交、状态跟踪与本科室历史查询。</w:t>
            </w:r>
          </w:p>
        </w:tc>
        <w:tc>
          <w:tcPr>
            <w:tcW w:w="1134" w:type="dxa"/>
            <w:vAlign w:val="center"/>
          </w:tcPr>
          <w:p w14:paraId="0C4AC78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2A465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822C1B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30</w:t>
            </w:r>
          </w:p>
        </w:tc>
        <w:tc>
          <w:tcPr>
            <w:tcW w:w="1587" w:type="dxa"/>
            <w:vAlign w:val="center"/>
          </w:tcPr>
          <w:p w14:paraId="4DDAA26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4F098EB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工单受理与派工</w:t>
            </w:r>
          </w:p>
        </w:tc>
        <w:tc>
          <w:tcPr>
            <w:tcW w:w="4252" w:type="dxa"/>
            <w:vAlign w:val="center"/>
          </w:tcPr>
          <w:p w14:paraId="3682AF2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后台自动接收临床科室申请并生成零星维修工单，完整展示申请内容、理由、地址、附件、申请人及时间；支持受理、派工并通知处理人员。</w:t>
            </w:r>
          </w:p>
        </w:tc>
        <w:tc>
          <w:tcPr>
            <w:tcW w:w="1134" w:type="dxa"/>
            <w:vAlign w:val="center"/>
          </w:tcPr>
          <w:p w14:paraId="01E8FC50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2293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08540B6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31</w:t>
            </w:r>
          </w:p>
        </w:tc>
        <w:tc>
          <w:tcPr>
            <w:tcW w:w="1587" w:type="dxa"/>
            <w:vAlign w:val="center"/>
          </w:tcPr>
          <w:p w14:paraId="54962BB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53D0504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现场勘探</w:t>
            </w:r>
          </w:p>
        </w:tc>
        <w:tc>
          <w:tcPr>
            <w:tcW w:w="4252" w:type="dxa"/>
            <w:vAlign w:val="center"/>
          </w:tcPr>
          <w:p w14:paraId="463D664F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工作人员现场</w:t>
            </w:r>
            <w:r>
              <w:rPr>
                <w:rFonts w:hint="eastAsia"/>
                <w:sz w:val="21"/>
                <w:highlight w:val="none"/>
              </w:rPr>
              <w:t>踏勘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维修事项、判断维修方案，记录预估工程量、材料需求、是否需立项等，上传</w:t>
            </w:r>
            <w:r>
              <w:rPr>
                <w:rFonts w:hint="eastAsia"/>
                <w:sz w:val="21"/>
                <w:highlight w:val="none"/>
              </w:rPr>
              <w:t>踏勘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照片与记录。</w:t>
            </w:r>
          </w:p>
        </w:tc>
        <w:tc>
          <w:tcPr>
            <w:tcW w:w="1134" w:type="dxa"/>
            <w:vAlign w:val="center"/>
          </w:tcPr>
          <w:p w14:paraId="6A8FBC71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5A33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6445074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32</w:t>
            </w:r>
          </w:p>
        </w:tc>
        <w:tc>
          <w:tcPr>
            <w:tcW w:w="1587" w:type="dxa"/>
            <w:vAlign w:val="center"/>
          </w:tcPr>
          <w:p w14:paraId="691EEB9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3A51E828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项目立项申请</w:t>
            </w:r>
          </w:p>
        </w:tc>
        <w:tc>
          <w:tcPr>
            <w:tcW w:w="4252" w:type="dxa"/>
            <w:vAlign w:val="center"/>
          </w:tcPr>
          <w:p w14:paraId="1FAEB54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对需立项的维修事项发起立项申请，填写立项依据、预算、工期并提交审批；审批过程留痕可追溯。</w:t>
            </w:r>
          </w:p>
        </w:tc>
        <w:tc>
          <w:tcPr>
            <w:tcW w:w="1134" w:type="dxa"/>
            <w:vAlign w:val="center"/>
          </w:tcPr>
          <w:p w14:paraId="4C66A750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6796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6E1EB4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33</w:t>
            </w:r>
          </w:p>
        </w:tc>
        <w:tc>
          <w:tcPr>
            <w:tcW w:w="1587" w:type="dxa"/>
            <w:vAlign w:val="center"/>
          </w:tcPr>
          <w:p w14:paraId="6748F83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0BF3BC9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施工管理</w:t>
            </w:r>
          </w:p>
        </w:tc>
        <w:tc>
          <w:tcPr>
            <w:tcW w:w="4252" w:type="dxa"/>
            <w:vAlign w:val="center"/>
          </w:tcPr>
          <w:p w14:paraId="4E15514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记录施工过程、施工人员、材料使用与进度，支持进度跟踪与全过程留痕。</w:t>
            </w:r>
          </w:p>
        </w:tc>
        <w:tc>
          <w:tcPr>
            <w:tcW w:w="1134" w:type="dxa"/>
            <w:vAlign w:val="center"/>
          </w:tcPr>
          <w:p w14:paraId="3370F233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6DEC2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677FE8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34</w:t>
            </w:r>
          </w:p>
        </w:tc>
        <w:tc>
          <w:tcPr>
            <w:tcW w:w="1587" w:type="dxa"/>
            <w:vAlign w:val="center"/>
          </w:tcPr>
          <w:p w14:paraId="1B25ED6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020CE6A5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验收管理</w:t>
            </w:r>
          </w:p>
        </w:tc>
        <w:tc>
          <w:tcPr>
            <w:tcW w:w="4252" w:type="dxa"/>
            <w:vAlign w:val="center"/>
          </w:tcPr>
          <w:p w14:paraId="4C441517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施工完成后发起验收，记录验收情况、验收人、验收结果（通过/整改后通过/不通过），生成并归档验收记录。</w:t>
            </w:r>
          </w:p>
        </w:tc>
        <w:tc>
          <w:tcPr>
            <w:tcW w:w="1134" w:type="dxa"/>
            <w:vAlign w:val="center"/>
          </w:tcPr>
          <w:p w14:paraId="62C97A9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1D24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26C4074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35</w:t>
            </w:r>
          </w:p>
        </w:tc>
        <w:tc>
          <w:tcPr>
            <w:tcW w:w="1587" w:type="dxa"/>
            <w:vAlign w:val="center"/>
          </w:tcPr>
          <w:p w14:paraId="132C45B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73E3EED4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结算管理</w:t>
            </w:r>
          </w:p>
        </w:tc>
        <w:tc>
          <w:tcPr>
            <w:tcW w:w="4252" w:type="dxa"/>
            <w:vAlign w:val="center"/>
          </w:tcPr>
          <w:p w14:paraId="4F28082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根据实际工程量、材料使用与合同约定生成结算单，支持结算审核与确认。</w:t>
            </w:r>
          </w:p>
        </w:tc>
        <w:tc>
          <w:tcPr>
            <w:tcW w:w="1134" w:type="dxa"/>
            <w:vAlign w:val="center"/>
          </w:tcPr>
          <w:p w14:paraId="27B64AA0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0A19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8FFA36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36</w:t>
            </w:r>
          </w:p>
        </w:tc>
        <w:tc>
          <w:tcPr>
            <w:tcW w:w="1587" w:type="dxa"/>
            <w:vAlign w:val="center"/>
          </w:tcPr>
          <w:p w14:paraId="48EC6B4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6B7435B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资料与结算材料导出</w:t>
            </w:r>
          </w:p>
        </w:tc>
        <w:tc>
          <w:tcPr>
            <w:tcW w:w="4252" w:type="dxa"/>
            <w:vAlign w:val="center"/>
          </w:tcPr>
          <w:p w14:paraId="39795F79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支持按工单/时间段/科室等条件一键导出全过程资料（申请、</w:t>
            </w:r>
            <w:r>
              <w:rPr>
                <w:rFonts w:hint="eastAsia"/>
                <w:sz w:val="21"/>
                <w:highlight w:val="none"/>
              </w:rPr>
              <w:t>踏勘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、立项、施工、验收、结算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、</w:t>
            </w:r>
            <w:r>
              <w:rPr>
                <w:rFonts w:hint="eastAsia"/>
                <w:b w:val="0"/>
                <w:sz w:val="21"/>
                <w:highlight w:val="none"/>
                <w:lang w:val="en-US" w:eastAsia="zh-CN"/>
              </w:rPr>
              <w:t>评价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各环节记录及附件）与结算材料，格式支持PDF/Word/Excel，便于归档与财务结算。</w:t>
            </w:r>
          </w:p>
        </w:tc>
        <w:tc>
          <w:tcPr>
            <w:tcW w:w="1134" w:type="dxa"/>
            <w:vAlign w:val="center"/>
          </w:tcPr>
          <w:p w14:paraId="61C07F5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E27B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821380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37</w:t>
            </w:r>
          </w:p>
        </w:tc>
        <w:tc>
          <w:tcPr>
            <w:tcW w:w="1587" w:type="dxa"/>
            <w:vAlign w:val="center"/>
          </w:tcPr>
          <w:p w14:paraId="58A0921D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168AFF74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零星维修闭环与超时预警</w:t>
            </w:r>
          </w:p>
        </w:tc>
        <w:tc>
          <w:tcPr>
            <w:tcW w:w="4252" w:type="dxa"/>
            <w:vAlign w:val="center"/>
          </w:tcPr>
          <w:p w14:paraId="352B9AC3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形成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“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申请—受理—</w:t>
            </w:r>
            <w:r>
              <w:rPr>
                <w:rFonts w:hint="eastAsia"/>
                <w:sz w:val="21"/>
                <w:highlight w:val="none"/>
              </w:rPr>
              <w:t>踏勘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—立项—施工—验收—结算</w:t>
            </w:r>
            <w:r>
              <w:rPr>
                <w:rFonts w:hint="eastAsia"/>
                <w:b w:val="0"/>
                <w:sz w:val="21"/>
                <w:highlight w:val="none"/>
                <w:lang w:val="en-US" w:eastAsia="zh-CN"/>
              </w:rPr>
              <w:t>-评价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”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全流程闭环；各环节设置处理时限，超时自动预警并升级通知。</w:t>
            </w:r>
          </w:p>
        </w:tc>
        <w:tc>
          <w:tcPr>
            <w:tcW w:w="1134" w:type="dxa"/>
            <w:vAlign w:val="center"/>
          </w:tcPr>
          <w:p w14:paraId="20E007B6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6FAA7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1E8369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38</w:t>
            </w:r>
          </w:p>
        </w:tc>
        <w:tc>
          <w:tcPr>
            <w:tcW w:w="1587" w:type="dxa"/>
            <w:vAlign w:val="center"/>
          </w:tcPr>
          <w:p w14:paraId="44162B0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2425125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零星维修权限与操作日志</w:t>
            </w:r>
          </w:p>
        </w:tc>
        <w:tc>
          <w:tcPr>
            <w:tcW w:w="4252" w:type="dxa"/>
            <w:vAlign w:val="center"/>
          </w:tcPr>
          <w:p w14:paraId="199C3775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按角色（申请人、受理、</w:t>
            </w:r>
            <w:r>
              <w:rPr>
                <w:rFonts w:hint="eastAsia"/>
                <w:sz w:val="21"/>
                <w:highlight w:val="none"/>
              </w:rPr>
              <w:t>踏勘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、审批、验收、结算审核等）分配功能与数据范围权限；全程操作日志留痕可审计。</w:t>
            </w:r>
          </w:p>
        </w:tc>
        <w:tc>
          <w:tcPr>
            <w:tcW w:w="1134" w:type="dxa"/>
            <w:vAlign w:val="center"/>
          </w:tcPr>
          <w:p w14:paraId="0C31AE8E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91F0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03CDA30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39</w:t>
            </w:r>
          </w:p>
        </w:tc>
        <w:tc>
          <w:tcPr>
            <w:tcW w:w="1587" w:type="dxa"/>
            <w:vAlign w:val="center"/>
          </w:tcPr>
          <w:p w14:paraId="68E383E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子系统二（维修系统）</w:t>
            </w:r>
          </w:p>
        </w:tc>
        <w:tc>
          <w:tcPr>
            <w:tcW w:w="1701" w:type="dxa"/>
            <w:vAlign w:val="center"/>
          </w:tcPr>
          <w:p w14:paraId="6E60CA6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零星维修统计报表</w:t>
            </w:r>
          </w:p>
        </w:tc>
        <w:tc>
          <w:tcPr>
            <w:tcW w:w="4252" w:type="dxa"/>
            <w:vAlign w:val="center"/>
          </w:tcPr>
          <w:p w14:paraId="2917DF12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按工单数量、维修类型、科室、完成情况、结算金额等维度统计，支持自定义查询与导出。</w:t>
            </w:r>
          </w:p>
        </w:tc>
        <w:tc>
          <w:tcPr>
            <w:tcW w:w="1134" w:type="dxa"/>
            <w:vAlign w:val="center"/>
          </w:tcPr>
          <w:p w14:paraId="287334EF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</w:tbl>
    <w:p w14:paraId="4B11468D">
      <w:pPr>
        <w:rPr>
          <w:rFonts w:hint="eastAsia"/>
          <w:highlight w:val="none"/>
          <w:lang w:val="en-US" w:eastAsia="zh-CN"/>
        </w:rPr>
      </w:pPr>
    </w:p>
    <w:p w14:paraId="04403E0C">
      <w:pPr>
        <w:rPr>
          <w:rFonts w:hint="eastAsia"/>
          <w:highlight w:val="none"/>
          <w:lang w:val="en-US" w:eastAsia="zh-CN"/>
        </w:rPr>
      </w:pPr>
    </w:p>
    <w:p w14:paraId="044A61E4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供应商名称（盖章）：                        日期：    年   月   日</w:t>
      </w:r>
    </w:p>
    <w:p w14:paraId="65CD861F">
      <w:pPr>
        <w:rPr>
          <w:highlight w:val="none"/>
        </w:rPr>
      </w:pPr>
      <w:r>
        <w:rPr>
          <w:highlight w:val="none"/>
        </w:rPr>
        <w:br w:type="page"/>
      </w:r>
    </w:p>
    <w:p w14:paraId="37D5BC57">
      <w:pPr>
        <w:spacing w:before="240" w:after="120" w:line="360" w:lineRule="auto"/>
        <w:outlineLvl w:val="0"/>
        <w:rPr>
          <w:highlight w:val="none"/>
        </w:rPr>
      </w:pPr>
      <w:r>
        <w:rPr>
          <w:rFonts w:ascii="黑体" w:hAnsi="黑体" w:eastAsia="黑体"/>
          <w:b/>
          <w:sz w:val="28"/>
          <w:highlight w:val="none"/>
        </w:rPr>
        <w:t>附件</w:t>
      </w:r>
      <w:r>
        <w:rPr>
          <w:rFonts w:hint="eastAsia" w:ascii="黑体" w:hAnsi="黑体" w:eastAsia="黑体"/>
          <w:b/>
          <w:sz w:val="28"/>
          <w:highlight w:val="none"/>
          <w:lang w:val="en-US" w:eastAsia="zh-CN"/>
        </w:rPr>
        <w:t>2</w:t>
      </w:r>
      <w:bookmarkStart w:id="0" w:name="_GoBack"/>
      <w:bookmarkEnd w:id="0"/>
      <w:r>
        <w:rPr>
          <w:rFonts w:ascii="黑体" w:hAnsi="黑体" w:eastAsia="黑体"/>
          <w:b/>
          <w:sz w:val="28"/>
          <w:highlight w:val="none"/>
        </w:rPr>
        <w:t>：市场调研报价表</w:t>
      </w:r>
    </w:p>
    <w:p w14:paraId="1BA6F5E1">
      <w:pPr>
        <w:spacing w:line="360" w:lineRule="auto"/>
        <w:ind w:firstLine="480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调研报价表为本项目分项报价表，供应商须逐项填写，并遵循本需求书</w:t>
      </w:r>
      <w:r>
        <w:rPr>
          <w:rFonts w:hint="eastAsia"/>
          <w:b w:val="0"/>
          <w:sz w:val="24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4"/>
          <w:highlight w:val="none"/>
        </w:rPr>
        <w:t>八、报价要求</w:t>
      </w:r>
      <w:r>
        <w:rPr>
          <w:rFonts w:hint="eastAsia"/>
          <w:b w:val="0"/>
          <w:sz w:val="24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4"/>
          <w:highlight w:val="none"/>
        </w:rPr>
        <w:t>的规定。</w:t>
      </w:r>
    </w:p>
    <w:p w14:paraId="25FA3688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  <w:r>
        <w:rPr>
          <w:rFonts w:ascii="宋体" w:hAnsi="宋体" w:eastAsia="宋体"/>
          <w:b w:val="0"/>
          <w:sz w:val="21"/>
          <w:highlight w:val="none"/>
        </w:rPr>
        <w:t>1. 本表为分项报价汇总表，供应商可根据实际扩展明细行，但分项合计须与总价一致；</w:t>
      </w:r>
    </w:p>
    <w:p w14:paraId="68815C7A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  <w:r>
        <w:rPr>
          <w:rFonts w:ascii="宋体" w:hAnsi="宋体" w:eastAsia="宋体"/>
          <w:b w:val="0"/>
          <w:sz w:val="21"/>
          <w:highlight w:val="none"/>
        </w:rPr>
        <w:t>2. 数量栏标注</w:t>
      </w:r>
      <w:r>
        <w:rPr>
          <w:rFonts w:hint="eastAsia" w:ascii="宋体" w:hAnsi="宋体" w:eastAsia="宋体"/>
          <w:b w:val="0"/>
          <w:sz w:val="21"/>
          <w:highlight w:val="none"/>
          <w:lang w:eastAsia="zh-CN"/>
        </w:rPr>
        <w:t>“</w:t>
      </w:r>
      <w:r>
        <w:rPr>
          <w:rFonts w:ascii="宋体" w:hAnsi="宋体" w:eastAsia="宋体"/>
          <w:b w:val="0"/>
          <w:sz w:val="21"/>
          <w:highlight w:val="none"/>
        </w:rPr>
        <w:t>以现场勘测为准</w:t>
      </w:r>
      <w:r>
        <w:rPr>
          <w:rFonts w:hint="eastAsia" w:ascii="宋体" w:hAnsi="宋体" w:eastAsia="宋体"/>
          <w:b w:val="0"/>
          <w:sz w:val="21"/>
          <w:highlight w:val="none"/>
          <w:lang w:eastAsia="zh-CN"/>
        </w:rPr>
        <w:t>”“</w:t>
      </w:r>
      <w:r>
        <w:rPr>
          <w:rFonts w:ascii="宋体" w:hAnsi="宋体" w:eastAsia="宋体"/>
          <w:b w:val="0"/>
          <w:sz w:val="21"/>
          <w:highlight w:val="none"/>
        </w:rPr>
        <w:t>以设备盘点为准</w:t>
      </w:r>
      <w:r>
        <w:rPr>
          <w:rFonts w:hint="eastAsia" w:ascii="宋体" w:hAnsi="宋体" w:eastAsia="宋体"/>
          <w:b w:val="0"/>
          <w:sz w:val="21"/>
          <w:highlight w:val="none"/>
          <w:lang w:eastAsia="zh-CN"/>
        </w:rPr>
        <w:t>”</w:t>
      </w:r>
      <w:r>
        <w:rPr>
          <w:rFonts w:ascii="宋体" w:hAnsi="宋体" w:eastAsia="宋体"/>
          <w:b w:val="0"/>
          <w:sz w:val="21"/>
          <w:highlight w:val="none"/>
        </w:rPr>
        <w:t>的项，最终数量以医院确认为准，单价在合同期内锁定；</w:t>
      </w:r>
    </w:p>
    <w:p w14:paraId="7CCA3210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  <w:r>
        <w:rPr>
          <w:rFonts w:ascii="宋体" w:hAnsi="宋体" w:eastAsia="宋体"/>
          <w:b w:val="0"/>
          <w:sz w:val="21"/>
          <w:highlight w:val="none"/>
        </w:rPr>
        <w:t>3. 质保期内（不少于1年）不收取软件维护与版本升级费用，Beacon非人为损坏免费更换。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596"/>
        <w:gridCol w:w="2372"/>
        <w:gridCol w:w="594"/>
        <w:gridCol w:w="964"/>
        <w:gridCol w:w="962"/>
        <w:gridCol w:w="962"/>
        <w:gridCol w:w="893"/>
      </w:tblGrid>
      <w:tr w14:paraId="764F0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07C0BB1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序号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8E30B6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报价项目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2F3A190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项目说明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55E629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单位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D76DDF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数量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5CF228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单价（元）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755784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合计（元）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2E17C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备注</w:t>
            </w:r>
          </w:p>
        </w:tc>
      </w:tr>
      <w:tr w14:paraId="7D444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8862" w:type="dxa"/>
            <w:gridSpan w:val="8"/>
            <w:shd w:val="clear" w:color="auto" w:fill="auto"/>
            <w:vAlign w:val="center"/>
          </w:tcPr>
          <w:p w14:paraId="4C8705A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第一组：子系统一（后勤机电设备巡检信息系统）</w:t>
            </w:r>
          </w:p>
        </w:tc>
      </w:tr>
      <w:tr w14:paraId="7F9A4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63296E9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10EC788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软件平台——巡检管理基础平台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18841BA6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设备分类编码、巡检标准库、巡检路线与班次、排班与任务自动生成、系统管理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298712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FC246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6CB3148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07F59FF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CD4EC2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49A6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2018CC05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CEF316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软件平台——移动端巡检应用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B1F7E3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扫码/NFC巡检、精准到场签到、离线巡检、异常上报、消息通知、个人统计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3110F05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1831FF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0410E37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695FA37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B7A5B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0BD2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200204D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D306C8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软件平台——后台监督管理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7F6CC9E7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实时监控看板、轨迹回放、到位率监督、质量审核、异常工单管理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8A6FAA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EB8374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22DB0D33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9E8950F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EF8BC1C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2A538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594C1DC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4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683286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软件平台——统计分析与数据看板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14C8D25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多维度统计报表、设备健康度、人员绩效、可视化看板、自定义报表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E616550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4098E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3E21AE0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DCA55F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9CFA74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976D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4943FF5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AF7329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软件平台——系统集成接口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337DC93E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统一</w:t>
            </w:r>
            <w:r>
              <w:rPr>
                <w:rFonts w:hint="eastAsia"/>
                <w:b w:val="0"/>
                <w:sz w:val="21"/>
                <w:highlight w:val="none"/>
                <w:lang w:val="en-US" w:eastAsia="zh-CN"/>
              </w:rPr>
              <w:t>身份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认证、工单系统、设备资产、BAS、钉钉/微信、室内定位引擎对接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66D543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49A40A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CFB866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37372D5C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9A59F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4816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6EC3DF45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6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BFA91A6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蓝牙Beacon信标（含安装调试）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25FC212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BLE 4.2/5.0，防护等级不低于IP65，电池续航≥2年（按日常广播频率测算）；含点位部署、信号覆盖测试、精度测试报告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90FBC72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个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B38453D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b w:val="0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hint="eastAsia"/>
                <w:b w:val="0"/>
                <w:sz w:val="21"/>
                <w:highlight w:val="none"/>
                <w:lang w:val="en-US" w:eastAsia="zh-CN"/>
              </w:rPr>
              <w:t>（按实结算，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以现场勘测为准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）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E27FE0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3B65995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43718C8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单价锁定</w:t>
            </w:r>
          </w:p>
        </w:tc>
      </w:tr>
      <w:tr w14:paraId="29730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35DA75D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7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0D4A545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NFC标签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3CCA1AEB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设备级触碰验证（≤10cm），含关联配置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40DEFD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个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7A254DA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b w:val="0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2000（按实</w:t>
            </w:r>
            <w:r>
              <w:rPr>
                <w:rFonts w:hint="eastAsia"/>
                <w:b w:val="0"/>
                <w:sz w:val="21"/>
                <w:highlight w:val="none"/>
                <w:lang w:val="en-US" w:eastAsia="zh-CN"/>
              </w:rPr>
              <w:t>结算，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以设备盘点为准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）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7D57BDF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616A83E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141EE9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单价锁定</w:t>
            </w:r>
          </w:p>
        </w:tc>
      </w:tr>
      <w:tr w14:paraId="4CE0F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2130E36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8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2FA0674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设备二维码标签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2B5C493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含制作、打印、粘贴指导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EFF9F4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张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B59784A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b w:val="0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hint="eastAsia"/>
                <w:b w:val="0"/>
                <w:sz w:val="21"/>
                <w:highlight w:val="none"/>
                <w:lang w:val="en-US" w:eastAsia="zh-CN"/>
              </w:rPr>
              <w:t>（按实结算，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以设备盘点为准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）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7509E4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C1394A3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9DDBC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单价锁定</w:t>
            </w:r>
          </w:p>
        </w:tc>
      </w:tr>
      <w:tr w14:paraId="39EBD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3057D9A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9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DD3ADA9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现场勘测与点位部署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712B7BA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现场勘测，输出《Beacon点位部署图》《信标配置清单》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F6A81D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D48353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4FE5F9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78E3566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AF5A16C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252DB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2E5941B3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C7629A4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数据初始化与实施服务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3FE43DDA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设备台账梳理、编码与导入，标准库配置，标签粘贴，试运行与正式上线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05307A5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B09DB8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BC872F7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3C57524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5F9337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E8F7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59AE368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11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A684786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培训服务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52D80E32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管理员/管理人员/一线巡检人员分层培训，操作手册与视频教程，培训考核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B09EF12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A8F30BC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64445E8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10976CE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DBEF99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30C86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192A6F13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2EC2814B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备品备件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C38FFEA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Beacon电池、NFC标签等易耗件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CF3D93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649A15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8B42EA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33390068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57DB9D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9ED4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6045" w:type="dxa"/>
            <w:gridSpan w:val="5"/>
            <w:shd w:val="clear" w:color="auto" w:fill="auto"/>
            <w:vAlign w:val="center"/>
          </w:tcPr>
          <w:p w14:paraId="13027D8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子系统一小计（含税）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318A800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4F7CDA22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42171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48111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8862" w:type="dxa"/>
            <w:gridSpan w:val="8"/>
            <w:shd w:val="clear" w:color="auto" w:fill="auto"/>
            <w:vAlign w:val="center"/>
          </w:tcPr>
          <w:p w14:paraId="29BC1017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第二组：子系统二（零星维修单管理系统）</w:t>
            </w:r>
          </w:p>
        </w:tc>
      </w:tr>
      <w:tr w14:paraId="30506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68EE728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074ED38C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软件平台——零星维修单管理系统（临床科室申请端）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59CEF4F0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零星维修在线申请、申请跟踪、本科室历史查询、附件上传、消息通知、科室统计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961217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E48F225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57FAF7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3C4EE4BC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A45670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A53E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4AB58EDD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2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B5E0496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软件平台——零星维修单管理系统（后勤管理端）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515722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工单受理与派工、现场勘探、项目立项、施工管理、验收管理、结算管理</w:t>
            </w:r>
            <w:r>
              <w:rPr>
                <w:rFonts w:hint="eastAsia"/>
                <w:b w:val="0"/>
                <w:sz w:val="21"/>
                <w:highlight w:val="none"/>
                <w:lang w:eastAsia="zh-CN"/>
              </w:rPr>
              <w:t>、</w:t>
            </w:r>
            <w:r>
              <w:rPr>
                <w:rFonts w:hint="eastAsia"/>
                <w:b w:val="0"/>
                <w:sz w:val="21"/>
                <w:highlight w:val="none"/>
                <w:lang w:val="en-US" w:eastAsia="zh-CN"/>
              </w:rPr>
              <w:t>评价管理</w:t>
            </w:r>
            <w:r>
              <w:rPr>
                <w:rFonts w:ascii="宋体" w:hAnsi="宋体" w:eastAsia="宋体"/>
                <w:b w:val="0"/>
                <w:sz w:val="21"/>
                <w:highlight w:val="none"/>
              </w:rPr>
              <w:t>、超时预警、基础数据与审批流程管理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82CA6F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7C9764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338C4116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5618FB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4D2F9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47C4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4032246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3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EDD6BFA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软件平台——零星维修单管理系统（统计与资料导出）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3943B08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全过程资料与结算材料导出、统计报表、操作日志与权限管理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BFBD38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A54B1A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0940BDB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306CF29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ED3C56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534DC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570F0E1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4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27B014B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软件平台——零星维修单管理系统（集成接口）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1CBA499D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统一身份认证、消息通知（钉钉）、与财务/资产等系统对接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5BAA46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58CD8D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677AD25E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622DEBE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CB1B4D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7F68A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6D8C55EF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43E1E3B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零星维修系统实施与培训服务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780DB988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系统配置、数据初始化、临床科室与后勤人员操作培训、试运行与正式上线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784342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4E1DD0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8F1175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2F3BDD7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7B76E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6CC56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6045" w:type="dxa"/>
            <w:gridSpan w:val="5"/>
            <w:shd w:val="clear" w:color="auto" w:fill="auto"/>
            <w:vAlign w:val="center"/>
          </w:tcPr>
          <w:p w14:paraId="1C73C35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子系统二小计（含税）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9FACBD1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01B34554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D0FDCA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</w:tr>
      <w:tr w14:paraId="1D811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14C16B05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246CC601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质保期后年度运维服务（自愿项）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555A390">
            <w:pPr>
              <w:spacing w:before="40" w:after="40" w:line="240" w:lineRule="auto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系统运维、技术支持、版本升级；Beacon电池更换指导与优惠供应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DDA75DE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年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4F08A5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1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1E6BF4F0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14:paraId="313EC1A5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9647CD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sz w:val="21"/>
                <w:highlight w:val="none"/>
              </w:rPr>
              <w:t>不计入首期总价</w:t>
            </w:r>
          </w:p>
        </w:tc>
      </w:tr>
      <w:tr w14:paraId="01E54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7007" w:type="dxa"/>
            <w:gridSpan w:val="6"/>
            <w:shd w:val="clear" w:color="auto" w:fill="auto"/>
            <w:vAlign w:val="center"/>
          </w:tcPr>
          <w:p w14:paraId="7F55AA48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2"/>
                <w:highlight w:val="none"/>
              </w:rPr>
              <w:t>项目整体含税总价（子系统一+子系统二）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7C9D59F">
            <w:pPr>
              <w:spacing w:before="40" w:after="40" w:line="240" w:lineRule="auto"/>
              <w:jc w:val="center"/>
              <w:rPr>
                <w:highlight w:val="none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CD51857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/>
                <w:sz w:val="21"/>
                <w:highlight w:val="none"/>
              </w:rPr>
              <w:t>与分项合计一致</w:t>
            </w:r>
          </w:p>
        </w:tc>
      </w:tr>
    </w:tbl>
    <w:p w14:paraId="54AA63BC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  <w:r>
        <w:rPr>
          <w:rFonts w:ascii="宋体" w:hAnsi="宋体" w:eastAsia="宋体"/>
          <w:b w:val="0"/>
          <w:sz w:val="21"/>
          <w:highlight w:val="none"/>
        </w:rPr>
        <w:t>特殊说明：本轮文件为市场调研阶段文件，非最终文件，医院将根据调研情况进行合理调整，最终采购需求以招标文件为准。</w:t>
      </w:r>
    </w:p>
    <w:p w14:paraId="3E103E2F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</w:p>
    <w:p w14:paraId="50272411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</w:p>
    <w:p w14:paraId="75AD0010">
      <w:pPr>
        <w:rPr>
          <w:rFonts w:hint="default" w:eastAsia="宋体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供应商名称（盖章）：                        日期：    年   月   日</w:t>
      </w:r>
    </w:p>
    <w:p w14:paraId="5EC036D2">
      <w:pPr>
        <w:spacing w:line="360" w:lineRule="auto"/>
        <w:ind w:firstLine="420"/>
        <w:rPr>
          <w:rFonts w:ascii="宋体" w:hAnsi="宋体" w:eastAsia="宋体"/>
          <w:b w:val="0"/>
          <w:sz w:val="21"/>
          <w:highlight w:val="none"/>
        </w:rPr>
      </w:pPr>
    </w:p>
    <w:sectPr>
      <w:footerReference r:id="rId5" w:type="default"/>
      <w:pgSz w:w="12240" w:h="15840"/>
      <w:pgMar w:top="1440" w:right="1797" w:bottom="1440" w:left="1797" w:header="720" w:footer="720" w:gutter="0"/>
      <w:pgNumType w:fmt="decimal"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55E78"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7E66B">
                          <w:pPr>
                            <w:pStyle w:val="24"/>
                            <w:rPr>
                              <w:sz w:val="18"/>
                              <w:szCs w:val="16"/>
                            </w:rPr>
                          </w:pPr>
                          <w:r>
                            <w:rPr>
                              <w:sz w:val="18"/>
                              <w:szCs w:val="16"/>
                            </w:rPr>
                            <w:t xml:space="preserve">第 </w:t>
                          </w:r>
                          <w:r>
                            <w:rPr>
                              <w:sz w:val="18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6"/>
                            </w:rPr>
                            <w:t>1</w:t>
                          </w:r>
                          <w:r>
                            <w:rPr>
                              <w:sz w:val="18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6"/>
                            </w:rPr>
                            <w:t xml:space="preserve"> 页 共 </w:t>
                          </w:r>
                          <w:r>
                            <w:rPr>
                              <w:sz w:val="18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6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6"/>
                            </w:rPr>
                            <w:t>23</w:t>
                          </w:r>
                          <w:r>
                            <w:rPr>
                              <w:sz w:val="18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6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7E66B">
                    <w:pPr>
                      <w:pStyle w:val="24"/>
                      <w:rPr>
                        <w:sz w:val="18"/>
                        <w:szCs w:val="16"/>
                      </w:rPr>
                    </w:pPr>
                    <w:r>
                      <w:rPr>
                        <w:sz w:val="18"/>
                        <w:szCs w:val="16"/>
                      </w:rPr>
                      <w:t xml:space="preserve">第 </w:t>
                    </w:r>
                    <w:r>
                      <w:rPr>
                        <w:sz w:val="18"/>
                        <w:szCs w:val="16"/>
                      </w:rPr>
                      <w:fldChar w:fldCharType="begin"/>
                    </w:r>
                    <w:r>
                      <w:rPr>
                        <w:sz w:val="18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6"/>
                      </w:rPr>
                      <w:fldChar w:fldCharType="separate"/>
                    </w:r>
                    <w:r>
                      <w:rPr>
                        <w:sz w:val="18"/>
                        <w:szCs w:val="16"/>
                      </w:rPr>
                      <w:t>1</w:t>
                    </w:r>
                    <w:r>
                      <w:rPr>
                        <w:sz w:val="18"/>
                        <w:szCs w:val="16"/>
                      </w:rPr>
                      <w:fldChar w:fldCharType="end"/>
                    </w:r>
                    <w:r>
                      <w:rPr>
                        <w:sz w:val="18"/>
                        <w:szCs w:val="16"/>
                      </w:rPr>
                      <w:t xml:space="preserve"> 页 共 </w:t>
                    </w:r>
                    <w:r>
                      <w:rPr>
                        <w:sz w:val="18"/>
                        <w:szCs w:val="16"/>
                      </w:rPr>
                      <w:fldChar w:fldCharType="begin"/>
                    </w:r>
                    <w:r>
                      <w:rPr>
                        <w:sz w:val="18"/>
                        <w:szCs w:val="16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  <w:szCs w:val="16"/>
                      </w:rPr>
                      <w:fldChar w:fldCharType="separate"/>
                    </w:r>
                    <w:r>
                      <w:rPr>
                        <w:sz w:val="18"/>
                        <w:szCs w:val="16"/>
                      </w:rPr>
                      <w:t>23</w:t>
                    </w:r>
                    <w:r>
                      <w:rPr>
                        <w:sz w:val="18"/>
                        <w:szCs w:val="16"/>
                      </w:rPr>
                      <w:fldChar w:fldCharType="end"/>
                    </w:r>
                    <w:r>
                      <w:rPr>
                        <w:sz w:val="18"/>
                        <w:szCs w:val="16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522028"/>
    <w:rsid w:val="045759DC"/>
    <w:rsid w:val="0C32639D"/>
    <w:rsid w:val="3CFF6194"/>
    <w:rsid w:val="40B17CEA"/>
    <w:rsid w:val="537429B7"/>
    <w:rsid w:val="547F7730"/>
    <w:rsid w:val="59235905"/>
    <w:rsid w:val="5D111C3D"/>
    <w:rsid w:val="62397268"/>
    <w:rsid w:val="7C920384"/>
    <w:rsid w:val="7E1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9448</Words>
  <Characters>9890</Characters>
  <Lines>0</Lines>
  <Paragraphs>0</Paragraphs>
  <TotalTime>10</TotalTime>
  <ScaleCrop>false</ScaleCrop>
  <LinksUpToDate>false</LinksUpToDate>
  <CharactersWithSpaces>10013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李珍</cp:lastModifiedBy>
  <dcterms:modified xsi:type="dcterms:W3CDTF">2026-09-04T08:22:55Z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eyJoZGlkIjoiYWNiMjY2YjhjMDFjYjExNzQ2ZTk1MDQ3N2NhNTNmOTgiLCJ1c2VySWQiOiIzMTYyMjI5OTgifQ==</vt:lpwstr>
  </property>
  <property fmtid="{D5CDD505-2E9C-101B-9397-08002B2CF9AE}" pid="3" name="KSOProductBuildVer">
    <vt:lpwstr>2052-12.1.0.19302</vt:lpwstr>
  </property>
  <property fmtid="{D5CDD505-2E9C-101B-9397-08002B2CF9AE}" pid="4" name="ICV">
    <vt:lpwstr>CD86AC7872554B429C6D39D88F69FAAF_13</vt:lpwstr>
  </property>
</Properties>
</file>