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D0A02">
      <w:pPr>
        <w:tabs>
          <w:tab w:val="left" w:pos="720"/>
          <w:tab w:val="center" w:pos="4557"/>
          <w:tab w:val="left" w:pos="5966"/>
        </w:tabs>
        <w:autoSpaceDE w:val="0"/>
        <w:autoSpaceDN w:val="0"/>
        <w:adjustRightInd w:val="0"/>
        <w:spacing w:line="360" w:lineRule="auto"/>
        <w:jc w:val="center"/>
        <w:rPr>
          <w:rFonts w:hint="eastAsia" w:ascii="宋体" w:hAnsi="宋体" w:eastAsia="宋体"/>
          <w:b/>
          <w:bCs/>
          <w:sz w:val="28"/>
          <w:szCs w:val="32"/>
        </w:rPr>
      </w:pPr>
      <w:r>
        <w:rPr>
          <w:rFonts w:hint="eastAsia" w:ascii="宋体" w:hAnsi="宋体" w:eastAsia="宋体"/>
          <w:b/>
          <w:bCs/>
          <w:sz w:val="28"/>
          <w:szCs w:val="32"/>
        </w:rPr>
        <w:t>2027-2029年双院区档案资料保管服务项目</w:t>
      </w:r>
    </w:p>
    <w:p w14:paraId="49C5E171">
      <w:pPr>
        <w:tabs>
          <w:tab w:val="left" w:pos="720"/>
          <w:tab w:val="center" w:pos="4557"/>
          <w:tab w:val="left" w:pos="5966"/>
        </w:tabs>
        <w:autoSpaceDE w:val="0"/>
        <w:autoSpaceDN w:val="0"/>
        <w:adjustRightInd w:val="0"/>
        <w:spacing w:line="360" w:lineRule="auto"/>
        <w:jc w:val="center"/>
        <w:rPr>
          <w:rFonts w:hint="eastAsia" w:ascii="宋体" w:hAnsi="宋体" w:eastAsia="宋体"/>
          <w:b/>
          <w:bCs/>
          <w:sz w:val="28"/>
          <w:szCs w:val="32"/>
        </w:rPr>
      </w:pPr>
      <w:r>
        <w:rPr>
          <w:rFonts w:hint="eastAsia" w:ascii="宋体" w:hAnsi="宋体" w:eastAsia="宋体"/>
          <w:b/>
          <w:bCs/>
          <w:sz w:val="28"/>
          <w:szCs w:val="32"/>
        </w:rPr>
        <w:t>用户需求书</w:t>
      </w:r>
    </w:p>
    <w:p w14:paraId="4766897C">
      <w:pPr>
        <w:snapToGrid w:val="0"/>
        <w:spacing w:before="156" w:beforeLines="50" w:line="360" w:lineRule="auto"/>
        <w:jc w:val="left"/>
        <w:outlineLvl w:val="0"/>
        <w:rPr>
          <w:rFonts w:hint="eastAsia" w:ascii="仿宋" w:hAnsi="仿宋" w:eastAsia="仿宋"/>
          <w:b/>
          <w:bCs/>
          <w:sz w:val="24"/>
          <w:szCs w:val="24"/>
        </w:rPr>
      </w:pPr>
      <w:r>
        <w:rPr>
          <w:rFonts w:hint="eastAsia" w:ascii="仿宋" w:hAnsi="仿宋" w:eastAsia="仿宋"/>
          <w:b/>
          <w:bCs/>
          <w:sz w:val="24"/>
          <w:szCs w:val="24"/>
        </w:rPr>
        <w:t>一、项目总述</w:t>
      </w:r>
    </w:p>
    <w:p w14:paraId="43B5474B">
      <w:pPr>
        <w:numPr>
          <w:ilvl w:val="0"/>
          <w:numId w:val="1"/>
        </w:numPr>
        <w:tabs>
          <w:tab w:val="left" w:pos="426"/>
        </w:tabs>
        <w:snapToGrid w:val="0"/>
        <w:spacing w:line="360" w:lineRule="auto"/>
        <w:rPr>
          <w:rFonts w:hint="eastAsia" w:ascii="仿宋" w:hAnsi="仿宋" w:eastAsia="仿宋"/>
          <w:sz w:val="24"/>
          <w:szCs w:val="24"/>
        </w:rPr>
      </w:pPr>
      <w:r>
        <w:rPr>
          <w:rFonts w:hint="eastAsia" w:ascii="仿宋" w:hAnsi="仿宋" w:eastAsia="仿宋"/>
          <w:sz w:val="24"/>
          <w:szCs w:val="24"/>
        </w:rPr>
        <w:t>供应商须对本项目的服务内容进行整体响应，任何只对其中一部分服务内容进行的响应，均被视为无效响应。</w:t>
      </w:r>
    </w:p>
    <w:p w14:paraId="1C7CDBA5">
      <w:pPr>
        <w:numPr>
          <w:ilvl w:val="0"/>
          <w:numId w:val="1"/>
        </w:numPr>
        <w:tabs>
          <w:tab w:val="left" w:pos="426"/>
        </w:tabs>
        <w:snapToGrid w:val="0"/>
        <w:spacing w:line="360" w:lineRule="auto"/>
        <w:rPr>
          <w:rFonts w:hint="eastAsia" w:ascii="仿宋" w:hAnsi="仿宋" w:eastAsia="仿宋"/>
          <w:sz w:val="24"/>
          <w:szCs w:val="24"/>
        </w:rPr>
      </w:pPr>
      <w:r>
        <w:rPr>
          <w:rFonts w:hint="eastAsia" w:ascii="仿宋" w:hAnsi="仿宋" w:eastAsia="仿宋"/>
          <w:sz w:val="24"/>
          <w:szCs w:val="24"/>
        </w:rPr>
        <w:t>打“★”号条款为实质性条款，响应供应商如有任何一条未响应或不满足，按无效响应处理。</w:t>
      </w:r>
    </w:p>
    <w:p w14:paraId="7D0302C8">
      <w:pPr>
        <w:snapToGrid w:val="0"/>
        <w:spacing w:before="156" w:beforeLines="50" w:line="360" w:lineRule="auto"/>
        <w:outlineLvl w:val="0"/>
        <w:rPr>
          <w:rFonts w:hint="eastAsia" w:ascii="仿宋" w:hAnsi="仿宋" w:eastAsia="仿宋"/>
          <w:b/>
          <w:bCs/>
          <w:sz w:val="24"/>
          <w:szCs w:val="24"/>
        </w:rPr>
      </w:pPr>
      <w:r>
        <w:rPr>
          <w:rFonts w:hint="eastAsia" w:ascii="仿宋" w:hAnsi="仿宋" w:eastAsia="仿宋"/>
          <w:b/>
          <w:bCs/>
          <w:sz w:val="24"/>
          <w:szCs w:val="24"/>
        </w:rPr>
        <w:t>二、</w:t>
      </w:r>
      <w:r>
        <w:rPr>
          <w:rFonts w:hint="eastAsia" w:ascii="仿宋" w:hAnsi="仿宋" w:eastAsia="仿宋" w:cs="Segoe UI Emoji"/>
          <w:b/>
          <w:bCs/>
          <w:sz w:val="24"/>
          <w:szCs w:val="24"/>
        </w:rPr>
        <w:t>★</w:t>
      </w:r>
      <w:r>
        <w:rPr>
          <w:rFonts w:hint="eastAsia" w:ascii="仿宋" w:hAnsi="仿宋" w:eastAsia="仿宋"/>
          <w:b/>
          <w:bCs/>
          <w:sz w:val="24"/>
          <w:szCs w:val="24"/>
        </w:rPr>
        <w:t>项目概况</w:t>
      </w:r>
    </w:p>
    <w:tbl>
      <w:tblPr>
        <w:tblStyle w:val="17"/>
        <w:tblW w:w="82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63"/>
        <w:gridCol w:w="1570"/>
        <w:gridCol w:w="1025"/>
        <w:gridCol w:w="1891"/>
        <w:gridCol w:w="1448"/>
      </w:tblGrid>
      <w:tr w14:paraId="1ACF6B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363" w:type="dxa"/>
            <w:tcBorders>
              <w:top w:val="single" w:color="auto" w:sz="12" w:space="0"/>
              <w:left w:val="single" w:color="auto" w:sz="12" w:space="0"/>
              <w:bottom w:val="single" w:color="auto" w:sz="2" w:space="0"/>
              <w:right w:val="single" w:color="auto" w:sz="4" w:space="0"/>
            </w:tcBorders>
            <w:shd w:val="clear" w:color="auto" w:fill="EEECE1"/>
            <w:vAlign w:val="center"/>
          </w:tcPr>
          <w:p w14:paraId="778EBB8C">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采购内容</w:t>
            </w:r>
          </w:p>
        </w:tc>
        <w:tc>
          <w:tcPr>
            <w:tcW w:w="1570" w:type="dxa"/>
            <w:tcBorders>
              <w:top w:val="single" w:color="auto" w:sz="12" w:space="0"/>
              <w:left w:val="single" w:color="auto" w:sz="4" w:space="0"/>
              <w:bottom w:val="single" w:color="auto" w:sz="2" w:space="0"/>
              <w:right w:val="single" w:color="auto" w:sz="4" w:space="0"/>
            </w:tcBorders>
            <w:shd w:val="clear" w:color="auto" w:fill="EEECE1"/>
            <w:vAlign w:val="center"/>
          </w:tcPr>
          <w:p w14:paraId="39BDE4AB">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数量</w:t>
            </w:r>
          </w:p>
        </w:tc>
        <w:tc>
          <w:tcPr>
            <w:tcW w:w="1025" w:type="dxa"/>
            <w:tcBorders>
              <w:top w:val="single" w:color="auto" w:sz="12" w:space="0"/>
              <w:left w:val="single" w:color="auto" w:sz="4" w:space="0"/>
              <w:bottom w:val="single" w:color="auto" w:sz="2" w:space="0"/>
              <w:right w:val="single" w:color="auto" w:sz="4" w:space="0"/>
            </w:tcBorders>
            <w:shd w:val="clear" w:color="auto" w:fill="EEECE1"/>
            <w:vAlign w:val="center"/>
          </w:tcPr>
          <w:p w14:paraId="44FA42DF">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服务期</w:t>
            </w:r>
          </w:p>
        </w:tc>
        <w:tc>
          <w:tcPr>
            <w:tcW w:w="1891" w:type="dxa"/>
            <w:tcBorders>
              <w:top w:val="single" w:color="auto" w:sz="12" w:space="0"/>
              <w:left w:val="single" w:color="auto" w:sz="4" w:space="0"/>
              <w:bottom w:val="single" w:color="auto" w:sz="2" w:space="0"/>
              <w:right w:val="single" w:color="auto" w:sz="2" w:space="0"/>
            </w:tcBorders>
            <w:shd w:val="clear" w:color="auto" w:fill="EEECE1"/>
            <w:vAlign w:val="center"/>
          </w:tcPr>
          <w:p w14:paraId="4FE43B2E">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最高采购限价</w:t>
            </w:r>
          </w:p>
          <w:p w14:paraId="01BF2935">
            <w:pPr>
              <w:adjustRightInd w:val="0"/>
              <w:snapToGrid w:val="0"/>
              <w:spacing w:line="360" w:lineRule="auto"/>
              <w:jc w:val="center"/>
              <w:rPr>
                <w:rFonts w:hint="eastAsia" w:ascii="仿宋" w:hAnsi="仿宋" w:eastAsia="仿宋"/>
                <w:sz w:val="24"/>
                <w:szCs w:val="24"/>
              </w:rPr>
            </w:pPr>
            <w:r>
              <w:rPr>
                <w:rFonts w:hint="eastAsia" w:ascii="仿宋" w:hAnsi="仿宋" w:eastAsia="仿宋"/>
                <w:b/>
                <w:sz w:val="24"/>
                <w:szCs w:val="24"/>
              </w:rPr>
              <w:t>（人民币）</w:t>
            </w:r>
          </w:p>
        </w:tc>
        <w:tc>
          <w:tcPr>
            <w:tcW w:w="1448" w:type="dxa"/>
            <w:tcBorders>
              <w:top w:val="single" w:color="auto" w:sz="12" w:space="0"/>
              <w:left w:val="single" w:color="auto" w:sz="4" w:space="0"/>
              <w:bottom w:val="single" w:color="auto" w:sz="2" w:space="0"/>
              <w:right w:val="single" w:color="auto" w:sz="2" w:space="0"/>
            </w:tcBorders>
            <w:shd w:val="clear" w:color="auto" w:fill="EEECE1"/>
            <w:vAlign w:val="center"/>
          </w:tcPr>
          <w:p w14:paraId="1D9C9366">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备注</w:t>
            </w:r>
          </w:p>
        </w:tc>
      </w:tr>
      <w:tr w14:paraId="65F53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73" w:hRule="atLeast"/>
          <w:jc w:val="center"/>
        </w:trPr>
        <w:tc>
          <w:tcPr>
            <w:tcW w:w="2363" w:type="dxa"/>
            <w:tcBorders>
              <w:top w:val="single" w:color="auto" w:sz="2" w:space="0"/>
              <w:left w:val="single" w:color="auto" w:sz="12" w:space="0"/>
              <w:bottom w:val="single" w:color="auto" w:sz="2" w:space="0"/>
              <w:right w:val="single" w:color="auto" w:sz="4" w:space="0"/>
            </w:tcBorders>
            <w:vAlign w:val="center"/>
          </w:tcPr>
          <w:p w14:paraId="226C3299">
            <w:pPr>
              <w:adjustRightInd w:val="0"/>
              <w:snapToGrid w:val="0"/>
              <w:spacing w:line="360" w:lineRule="auto"/>
              <w:jc w:val="center"/>
              <w:rPr>
                <w:rFonts w:hint="eastAsia" w:ascii="仿宋" w:hAnsi="仿宋" w:eastAsia="仿宋"/>
                <w:kern w:val="0"/>
                <w:sz w:val="24"/>
                <w:szCs w:val="24"/>
              </w:rPr>
            </w:pPr>
            <w:r>
              <w:rPr>
                <w:rFonts w:hint="eastAsia" w:ascii="仿宋" w:hAnsi="仿宋" w:eastAsia="仿宋"/>
                <w:kern w:val="0"/>
                <w:sz w:val="24"/>
                <w:szCs w:val="24"/>
              </w:rPr>
              <w:t>2027-2029年双院区资料保管服务项目</w:t>
            </w:r>
          </w:p>
        </w:tc>
        <w:tc>
          <w:tcPr>
            <w:tcW w:w="1570" w:type="dxa"/>
            <w:tcBorders>
              <w:top w:val="single" w:color="auto" w:sz="2" w:space="0"/>
              <w:left w:val="single" w:color="auto" w:sz="4" w:space="0"/>
              <w:bottom w:val="single" w:color="auto" w:sz="2" w:space="0"/>
              <w:right w:val="single" w:color="auto" w:sz="4" w:space="0"/>
            </w:tcBorders>
            <w:vAlign w:val="center"/>
          </w:tcPr>
          <w:p w14:paraId="2BDDE6B5">
            <w:pPr>
              <w:adjustRightInd w:val="0"/>
              <w:snapToGrid w:val="0"/>
              <w:spacing w:line="360" w:lineRule="auto"/>
              <w:jc w:val="center"/>
              <w:rPr>
                <w:rFonts w:hint="eastAsia" w:ascii="仿宋" w:hAnsi="仿宋" w:eastAsia="仿宋"/>
                <w:kern w:val="0"/>
                <w:sz w:val="24"/>
                <w:szCs w:val="24"/>
              </w:rPr>
            </w:pPr>
            <w:r>
              <w:rPr>
                <w:rFonts w:hint="eastAsia" w:ascii="仿宋" w:hAnsi="仿宋" w:eastAsia="仿宋"/>
                <w:kern w:val="0"/>
                <w:sz w:val="24"/>
                <w:szCs w:val="24"/>
              </w:rPr>
              <w:t>一批</w:t>
            </w:r>
          </w:p>
          <w:p w14:paraId="7AE88066">
            <w:pPr>
              <w:adjustRightInd w:val="0"/>
              <w:snapToGrid w:val="0"/>
              <w:spacing w:line="360" w:lineRule="auto"/>
              <w:jc w:val="center"/>
              <w:rPr>
                <w:rFonts w:hint="eastAsia" w:ascii="仿宋" w:hAnsi="仿宋" w:eastAsia="仿宋"/>
                <w:kern w:val="0"/>
                <w:sz w:val="24"/>
                <w:szCs w:val="24"/>
              </w:rPr>
            </w:pPr>
            <w:r>
              <w:rPr>
                <w:rFonts w:hint="eastAsia" w:ascii="仿宋" w:hAnsi="仿宋" w:eastAsia="仿宋"/>
                <w:kern w:val="0"/>
                <w:sz w:val="24"/>
                <w:szCs w:val="24"/>
              </w:rPr>
              <w:t>（预计13631箱，以采购人实际托管箱数为准）</w:t>
            </w:r>
          </w:p>
        </w:tc>
        <w:tc>
          <w:tcPr>
            <w:tcW w:w="1025" w:type="dxa"/>
            <w:tcBorders>
              <w:top w:val="single" w:color="auto" w:sz="2" w:space="0"/>
              <w:left w:val="single" w:color="auto" w:sz="4" w:space="0"/>
              <w:bottom w:val="single" w:color="auto" w:sz="2" w:space="0"/>
              <w:right w:val="single" w:color="auto" w:sz="4" w:space="0"/>
            </w:tcBorders>
            <w:vAlign w:val="center"/>
          </w:tcPr>
          <w:p w14:paraId="4492B04E">
            <w:pPr>
              <w:keepNext/>
              <w:adjustRightInd w:val="0"/>
              <w:spacing w:before="60" w:after="60" w:line="360" w:lineRule="auto"/>
              <w:jc w:val="center"/>
              <w:textAlignment w:val="center"/>
              <w:rPr>
                <w:rFonts w:hint="eastAsia" w:ascii="仿宋" w:hAnsi="仿宋" w:eastAsia="仿宋"/>
                <w:sz w:val="24"/>
                <w:szCs w:val="24"/>
              </w:rPr>
            </w:pPr>
            <w:r>
              <w:rPr>
                <w:rFonts w:hint="eastAsia" w:ascii="仿宋" w:hAnsi="仿宋" w:eastAsia="仿宋"/>
                <w:sz w:val="24"/>
                <w:szCs w:val="24"/>
              </w:rPr>
              <w:t>3年</w:t>
            </w:r>
          </w:p>
        </w:tc>
        <w:tc>
          <w:tcPr>
            <w:tcW w:w="1891" w:type="dxa"/>
            <w:tcBorders>
              <w:top w:val="single" w:color="auto" w:sz="2" w:space="0"/>
              <w:left w:val="single" w:color="auto" w:sz="4" w:space="0"/>
              <w:bottom w:val="single" w:color="auto" w:sz="2" w:space="0"/>
              <w:right w:val="single" w:color="auto" w:sz="2" w:space="0"/>
            </w:tcBorders>
            <w:vAlign w:val="center"/>
          </w:tcPr>
          <w:p w14:paraId="4A8285DD">
            <w:pPr>
              <w:keepNext/>
              <w:adjustRightInd w:val="0"/>
              <w:spacing w:before="60" w:after="60" w:line="360" w:lineRule="auto"/>
              <w:jc w:val="center"/>
              <w:textAlignment w:val="center"/>
              <w:rPr>
                <w:rFonts w:hint="eastAsia" w:ascii="仿宋" w:hAnsi="仿宋" w:eastAsia="仿宋"/>
                <w:sz w:val="24"/>
                <w:szCs w:val="24"/>
              </w:rPr>
            </w:pPr>
            <w:r>
              <w:rPr>
                <w:rFonts w:hint="eastAsia" w:ascii="仿宋" w:hAnsi="仿宋" w:eastAsia="仿宋"/>
                <w:bCs/>
                <w:sz w:val="24"/>
                <w:szCs w:val="24"/>
                <w:u w:val="single"/>
                <w:lang w:val="zh-CN"/>
              </w:rPr>
              <w:t xml:space="preserve"> 50 万</w:t>
            </w:r>
            <w:r>
              <w:rPr>
                <w:rFonts w:hint="eastAsia" w:ascii="仿宋" w:hAnsi="仿宋" w:eastAsia="仿宋"/>
                <w:sz w:val="24"/>
                <w:szCs w:val="24"/>
              </w:rPr>
              <w:t>元/3年</w:t>
            </w:r>
          </w:p>
        </w:tc>
        <w:tc>
          <w:tcPr>
            <w:tcW w:w="1448" w:type="dxa"/>
            <w:tcBorders>
              <w:top w:val="single" w:color="auto" w:sz="2" w:space="0"/>
              <w:left w:val="single" w:color="auto" w:sz="4" w:space="0"/>
              <w:bottom w:val="single" w:color="auto" w:sz="2" w:space="0"/>
              <w:right w:val="single" w:color="auto" w:sz="2" w:space="0"/>
            </w:tcBorders>
            <w:vAlign w:val="center"/>
          </w:tcPr>
          <w:p w14:paraId="0C564DD9">
            <w:pPr>
              <w:keepNext/>
              <w:adjustRightInd w:val="0"/>
              <w:spacing w:before="60" w:after="60" w:line="360" w:lineRule="auto"/>
              <w:textAlignment w:val="center"/>
              <w:rPr>
                <w:rFonts w:hint="eastAsia" w:ascii="仿宋" w:hAnsi="仿宋" w:eastAsia="仿宋"/>
                <w:sz w:val="24"/>
                <w:szCs w:val="24"/>
              </w:rPr>
            </w:pPr>
            <w:r>
              <w:rPr>
                <w:rFonts w:hint="eastAsia" w:ascii="仿宋" w:hAnsi="仿宋" w:eastAsia="仿宋"/>
                <w:sz w:val="24"/>
                <w:szCs w:val="24"/>
              </w:rPr>
              <w:t>项目执行期间需按实结算</w:t>
            </w:r>
          </w:p>
        </w:tc>
      </w:tr>
    </w:tbl>
    <w:p w14:paraId="0BC4A61D">
      <w:pPr>
        <w:numPr>
          <w:ilvl w:val="0"/>
          <w:numId w:val="2"/>
        </w:numPr>
        <w:tabs>
          <w:tab w:val="left" w:pos="426"/>
        </w:tabs>
        <w:snapToGrid w:val="0"/>
        <w:spacing w:line="360" w:lineRule="auto"/>
        <w:rPr>
          <w:rFonts w:hint="eastAsia" w:ascii="仿宋" w:hAnsi="仿宋" w:eastAsia="仿宋"/>
          <w:sz w:val="24"/>
          <w:szCs w:val="24"/>
        </w:rPr>
      </w:pPr>
      <w:r>
        <w:rPr>
          <w:rFonts w:hint="eastAsia" w:ascii="仿宋" w:hAnsi="仿宋" w:eastAsia="仿宋"/>
          <w:sz w:val="24"/>
          <w:szCs w:val="24"/>
        </w:rPr>
        <w:t>最高采购限价：本项目最高采购限价为50万元，投标金额仅作为评标过程中价格分的参考依据。该项目按实结算，以实际托管天数和箱数为准。</w:t>
      </w:r>
    </w:p>
    <w:p w14:paraId="12256601">
      <w:pPr>
        <w:numPr>
          <w:ilvl w:val="0"/>
          <w:numId w:val="2"/>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合同服务期：三年或采购金额达到合同金额时止，以先达到者为准。</w:t>
      </w:r>
    </w:p>
    <w:p w14:paraId="3FC6E212">
      <w:pPr>
        <w:numPr>
          <w:ilvl w:val="0"/>
          <w:numId w:val="2"/>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合同履行期限：自合同生效之日起至合同全部权利义务履行完毕之日止。</w:t>
      </w:r>
    </w:p>
    <w:p w14:paraId="4BDB9EBC">
      <w:pPr>
        <w:numPr>
          <w:ilvl w:val="0"/>
          <w:numId w:val="2"/>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服务对象及内容：中山大学肿瘤防治中心病案统计科、临床研究部、病理科和伦理委员会等科室档案的仓储、保管、资料打包、库内管理等服务。</w:t>
      </w:r>
    </w:p>
    <w:p w14:paraId="4365761A">
      <w:pPr>
        <w:numPr>
          <w:ilvl w:val="0"/>
          <w:numId w:val="2"/>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接收档案地址：</w:t>
      </w:r>
    </w:p>
    <w:p w14:paraId="26709B30">
      <w:pPr>
        <w:pStyle w:val="34"/>
        <w:tabs>
          <w:tab w:val="left" w:pos="420"/>
          <w:tab w:val="left" w:pos="600"/>
        </w:tabs>
        <w:snapToGrid w:val="0"/>
        <w:spacing w:line="360" w:lineRule="auto"/>
        <w:ind w:left="210" w:leftChars="100"/>
        <w:contextualSpacing w:val="0"/>
        <w:rPr>
          <w:rFonts w:hint="eastAsia" w:ascii="仿宋" w:hAnsi="仿宋" w:eastAsia="仿宋"/>
          <w:sz w:val="24"/>
          <w:szCs w:val="24"/>
        </w:rPr>
      </w:pPr>
      <w:r>
        <w:rPr>
          <w:rFonts w:hint="eastAsia" w:ascii="仿宋" w:hAnsi="仿宋" w:eastAsia="仿宋"/>
          <w:sz w:val="24"/>
          <w:szCs w:val="24"/>
        </w:rPr>
        <w:t>5.1广州市越秀区东风东路</w:t>
      </w:r>
      <w:r>
        <w:rPr>
          <w:rFonts w:ascii="仿宋" w:hAnsi="仿宋" w:eastAsia="仿宋"/>
          <w:sz w:val="24"/>
          <w:szCs w:val="24"/>
        </w:rPr>
        <w:t>651</w:t>
      </w:r>
      <w:r>
        <w:rPr>
          <w:rFonts w:hint="eastAsia" w:ascii="仿宋" w:hAnsi="仿宋" w:eastAsia="仿宋"/>
          <w:sz w:val="24"/>
          <w:szCs w:val="24"/>
        </w:rPr>
        <w:t>号中山大学肿瘤防治中心越秀院区</w:t>
      </w:r>
    </w:p>
    <w:p w14:paraId="48FE4ED0">
      <w:pPr>
        <w:pStyle w:val="34"/>
        <w:tabs>
          <w:tab w:val="left" w:pos="420"/>
          <w:tab w:val="left" w:pos="600"/>
        </w:tabs>
        <w:snapToGrid w:val="0"/>
        <w:spacing w:line="360" w:lineRule="auto"/>
        <w:ind w:left="210" w:leftChars="100"/>
        <w:contextualSpacing w:val="0"/>
        <w:rPr>
          <w:rFonts w:hint="eastAsia" w:ascii="仿宋" w:hAnsi="仿宋" w:eastAsia="仿宋"/>
          <w:sz w:val="24"/>
          <w:szCs w:val="24"/>
        </w:rPr>
      </w:pPr>
      <w:r>
        <w:rPr>
          <w:rFonts w:hint="eastAsia" w:ascii="仿宋" w:hAnsi="仿宋" w:eastAsia="仿宋"/>
          <w:sz w:val="24"/>
          <w:szCs w:val="24"/>
        </w:rPr>
        <w:t>5.2广州市黄埔区中新广州知识城开阳五路</w:t>
      </w:r>
      <w:r>
        <w:rPr>
          <w:rFonts w:ascii="仿宋" w:hAnsi="仿宋" w:eastAsia="仿宋"/>
          <w:sz w:val="24"/>
          <w:szCs w:val="24"/>
        </w:rPr>
        <w:t>1</w:t>
      </w:r>
      <w:r>
        <w:rPr>
          <w:rFonts w:hint="eastAsia" w:ascii="仿宋" w:hAnsi="仿宋" w:eastAsia="仿宋"/>
          <w:sz w:val="24"/>
          <w:szCs w:val="24"/>
        </w:rPr>
        <w:t>号中山大学肿瘤防治中心黄埔院区</w:t>
      </w:r>
    </w:p>
    <w:p w14:paraId="5F225B40">
      <w:pPr>
        <w:pStyle w:val="34"/>
        <w:tabs>
          <w:tab w:val="left" w:pos="420"/>
          <w:tab w:val="left" w:pos="600"/>
        </w:tabs>
        <w:snapToGrid w:val="0"/>
        <w:spacing w:line="360" w:lineRule="auto"/>
        <w:ind w:left="210" w:leftChars="100"/>
        <w:contextualSpacing w:val="0"/>
        <w:rPr>
          <w:rFonts w:hint="eastAsia" w:ascii="仿宋" w:hAnsi="仿宋" w:eastAsia="仿宋"/>
          <w:sz w:val="24"/>
          <w:szCs w:val="24"/>
        </w:rPr>
      </w:pPr>
      <w:r>
        <w:rPr>
          <w:rFonts w:hint="eastAsia" w:ascii="仿宋" w:hAnsi="仿宋" w:eastAsia="仿宋"/>
          <w:sz w:val="24"/>
          <w:szCs w:val="24"/>
        </w:rPr>
        <w:t>5.3广州市越秀区融通街华泰宾馆翠园楼</w:t>
      </w:r>
    </w:p>
    <w:p w14:paraId="44139059">
      <w:pPr>
        <w:pStyle w:val="34"/>
        <w:tabs>
          <w:tab w:val="left" w:pos="420"/>
          <w:tab w:val="left" w:pos="600"/>
        </w:tabs>
        <w:snapToGrid w:val="0"/>
        <w:spacing w:line="360" w:lineRule="auto"/>
        <w:ind w:left="210" w:leftChars="100"/>
        <w:contextualSpacing w:val="0"/>
        <w:rPr>
          <w:rFonts w:hint="eastAsia" w:ascii="仿宋" w:hAnsi="仿宋" w:eastAsia="仿宋"/>
          <w:sz w:val="24"/>
          <w:szCs w:val="24"/>
        </w:rPr>
      </w:pPr>
      <w:r>
        <w:rPr>
          <w:rFonts w:hint="eastAsia" w:ascii="仿宋" w:hAnsi="仿宋" w:eastAsia="仿宋"/>
          <w:sz w:val="24"/>
          <w:szCs w:val="24"/>
        </w:rPr>
        <w:t>5.4广州市越秀区青菜岗21号大院</w:t>
      </w:r>
    </w:p>
    <w:p w14:paraId="3D9587F7">
      <w:pPr>
        <w:numPr>
          <w:ilvl w:val="0"/>
          <w:numId w:val="2"/>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纸箱规格：现医院存放档案纸箱规格为（约）：长：45cm、宽：33cm、高：25cm。纸箱底面积（约）45cm×33cm=0.15㎡。本项目需增大纸箱宽度2cm。</w:t>
      </w:r>
    </w:p>
    <w:p w14:paraId="2C8DDC35">
      <w:pPr>
        <w:tabs>
          <w:tab w:val="left" w:pos="420"/>
          <w:tab w:val="left" w:pos="540"/>
        </w:tabs>
        <w:adjustRightInd w:val="0"/>
        <w:snapToGrid w:val="0"/>
        <w:spacing w:line="360" w:lineRule="auto"/>
        <w:outlineLvl w:val="0"/>
        <w:rPr>
          <w:rFonts w:hint="eastAsia" w:ascii="仿宋" w:hAnsi="仿宋" w:eastAsia="仿宋"/>
          <w:b/>
          <w:bCs/>
          <w:sz w:val="24"/>
          <w:szCs w:val="24"/>
        </w:rPr>
      </w:pPr>
      <w:r>
        <w:rPr>
          <w:rFonts w:hint="eastAsia" w:ascii="仿宋" w:hAnsi="仿宋" w:eastAsia="仿宋"/>
          <w:b/>
          <w:bCs/>
          <w:sz w:val="24"/>
          <w:szCs w:val="24"/>
        </w:rPr>
        <w:t>三、采购清单</w:t>
      </w:r>
    </w:p>
    <w:tbl>
      <w:tblPr>
        <w:tblStyle w:val="17"/>
        <w:tblW w:w="90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81"/>
        <w:gridCol w:w="1406"/>
        <w:gridCol w:w="2388"/>
        <w:gridCol w:w="3282"/>
      </w:tblGrid>
      <w:tr w14:paraId="2A254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981" w:type="dxa"/>
            <w:tcBorders>
              <w:top w:val="single" w:color="auto" w:sz="12" w:space="0"/>
              <w:left w:val="single" w:color="auto" w:sz="12" w:space="0"/>
              <w:bottom w:val="single" w:color="auto" w:sz="2" w:space="0"/>
              <w:right w:val="single" w:color="auto" w:sz="4" w:space="0"/>
            </w:tcBorders>
            <w:shd w:val="clear" w:color="auto" w:fill="EEECE1"/>
            <w:vAlign w:val="center"/>
          </w:tcPr>
          <w:p w14:paraId="5945B00C">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采购内容</w:t>
            </w:r>
          </w:p>
        </w:tc>
        <w:tc>
          <w:tcPr>
            <w:tcW w:w="1406" w:type="dxa"/>
            <w:tcBorders>
              <w:top w:val="single" w:color="auto" w:sz="12" w:space="0"/>
              <w:left w:val="single" w:color="auto" w:sz="4" w:space="0"/>
              <w:bottom w:val="single" w:color="auto" w:sz="2" w:space="0"/>
              <w:right w:val="single" w:color="auto" w:sz="4" w:space="0"/>
            </w:tcBorders>
            <w:shd w:val="clear" w:color="auto" w:fill="EEECE1"/>
            <w:vAlign w:val="center"/>
          </w:tcPr>
          <w:p w14:paraId="617FB18C">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数量</w:t>
            </w:r>
          </w:p>
        </w:tc>
        <w:tc>
          <w:tcPr>
            <w:tcW w:w="2388" w:type="dxa"/>
            <w:tcBorders>
              <w:top w:val="single" w:color="auto" w:sz="12" w:space="0"/>
              <w:left w:val="single" w:color="auto" w:sz="4" w:space="0"/>
              <w:bottom w:val="single" w:color="auto" w:sz="2" w:space="0"/>
              <w:right w:val="single" w:color="auto" w:sz="4" w:space="0"/>
            </w:tcBorders>
            <w:shd w:val="clear" w:color="auto" w:fill="EEECE1"/>
            <w:vAlign w:val="center"/>
          </w:tcPr>
          <w:p w14:paraId="7ACB24FE">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按单价采购</w:t>
            </w:r>
          </w:p>
          <w:p w14:paraId="5E571C02">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（人民币）</w:t>
            </w:r>
          </w:p>
        </w:tc>
        <w:tc>
          <w:tcPr>
            <w:tcW w:w="3282" w:type="dxa"/>
            <w:tcBorders>
              <w:top w:val="single" w:color="auto" w:sz="12" w:space="0"/>
              <w:left w:val="single" w:color="auto" w:sz="4" w:space="0"/>
              <w:bottom w:val="single" w:color="auto" w:sz="2" w:space="0"/>
              <w:right w:val="single" w:color="auto" w:sz="12" w:space="0"/>
            </w:tcBorders>
            <w:shd w:val="clear" w:color="auto" w:fill="EEECE1"/>
            <w:vAlign w:val="center"/>
          </w:tcPr>
          <w:p w14:paraId="4EDA5CC1">
            <w:pPr>
              <w:adjustRightInd w:val="0"/>
              <w:snapToGrid w:val="0"/>
              <w:spacing w:line="360" w:lineRule="auto"/>
              <w:jc w:val="center"/>
              <w:rPr>
                <w:rFonts w:hint="eastAsia" w:ascii="仿宋" w:hAnsi="仿宋" w:eastAsia="仿宋"/>
                <w:b/>
                <w:sz w:val="24"/>
                <w:szCs w:val="24"/>
              </w:rPr>
            </w:pPr>
            <w:r>
              <w:rPr>
                <w:rFonts w:hint="eastAsia" w:ascii="仿宋" w:hAnsi="仿宋" w:eastAsia="仿宋"/>
                <w:b/>
                <w:sz w:val="24"/>
                <w:szCs w:val="24"/>
              </w:rPr>
              <w:t>备注</w:t>
            </w:r>
          </w:p>
        </w:tc>
      </w:tr>
      <w:tr w14:paraId="13278F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981" w:type="dxa"/>
            <w:tcBorders>
              <w:top w:val="single" w:color="auto" w:sz="2" w:space="0"/>
              <w:left w:val="single" w:color="auto" w:sz="12" w:space="0"/>
              <w:bottom w:val="single" w:color="auto" w:sz="2" w:space="0"/>
              <w:right w:val="single" w:color="auto" w:sz="4" w:space="0"/>
            </w:tcBorders>
            <w:vAlign w:val="center"/>
          </w:tcPr>
          <w:p w14:paraId="72CBAED9">
            <w:pPr>
              <w:adjustRightInd w:val="0"/>
              <w:snapToGrid w:val="0"/>
              <w:spacing w:line="360" w:lineRule="auto"/>
              <w:jc w:val="center"/>
              <w:rPr>
                <w:rFonts w:hint="eastAsia" w:ascii="仿宋" w:hAnsi="仿宋" w:eastAsia="仿宋"/>
                <w:kern w:val="0"/>
                <w:sz w:val="24"/>
                <w:szCs w:val="24"/>
              </w:rPr>
            </w:pPr>
            <w:r>
              <w:rPr>
                <w:rFonts w:hint="eastAsia" w:ascii="仿宋" w:hAnsi="仿宋" w:eastAsia="仿宋"/>
                <w:kern w:val="0"/>
                <w:sz w:val="24"/>
                <w:szCs w:val="24"/>
              </w:rPr>
              <w:t>2027-2029年双院区资料保管服务项目</w:t>
            </w:r>
          </w:p>
        </w:tc>
        <w:tc>
          <w:tcPr>
            <w:tcW w:w="1406" w:type="dxa"/>
            <w:tcBorders>
              <w:top w:val="single" w:color="auto" w:sz="2" w:space="0"/>
              <w:left w:val="single" w:color="auto" w:sz="4" w:space="0"/>
              <w:bottom w:val="single" w:color="auto" w:sz="2" w:space="0"/>
              <w:right w:val="single" w:color="auto" w:sz="4" w:space="0"/>
            </w:tcBorders>
            <w:vAlign w:val="center"/>
          </w:tcPr>
          <w:p w14:paraId="0AFFBC03">
            <w:pPr>
              <w:adjustRightInd w:val="0"/>
              <w:snapToGrid w:val="0"/>
              <w:spacing w:line="360" w:lineRule="auto"/>
              <w:jc w:val="center"/>
              <w:rPr>
                <w:rFonts w:hint="eastAsia" w:ascii="仿宋" w:hAnsi="仿宋" w:eastAsia="仿宋"/>
                <w:b/>
                <w:bCs/>
                <w:kern w:val="0"/>
                <w:sz w:val="24"/>
                <w:szCs w:val="24"/>
              </w:rPr>
            </w:pPr>
            <w:r>
              <w:rPr>
                <w:rFonts w:hint="eastAsia" w:ascii="仿宋" w:hAnsi="仿宋" w:eastAsia="仿宋"/>
                <w:b/>
                <w:bCs/>
                <w:kern w:val="0"/>
                <w:sz w:val="24"/>
                <w:szCs w:val="24"/>
              </w:rPr>
              <w:t>一批：</w:t>
            </w:r>
          </w:p>
          <w:p w14:paraId="0FDC7843">
            <w:pPr>
              <w:adjustRightInd w:val="0"/>
              <w:snapToGrid w:val="0"/>
              <w:spacing w:line="360" w:lineRule="auto"/>
              <w:jc w:val="center"/>
              <w:rPr>
                <w:rFonts w:hint="eastAsia" w:ascii="仿宋" w:hAnsi="仿宋" w:eastAsia="仿宋"/>
                <w:kern w:val="0"/>
                <w:sz w:val="24"/>
                <w:szCs w:val="24"/>
              </w:rPr>
            </w:pPr>
            <w:r>
              <w:rPr>
                <w:rFonts w:hint="eastAsia" w:ascii="仿宋" w:hAnsi="仿宋" w:eastAsia="仿宋"/>
                <w:kern w:val="0"/>
                <w:sz w:val="24"/>
                <w:szCs w:val="24"/>
              </w:rPr>
              <w:t>预计合同期内约13631箱</w:t>
            </w:r>
          </w:p>
        </w:tc>
        <w:tc>
          <w:tcPr>
            <w:tcW w:w="2388" w:type="dxa"/>
            <w:tcBorders>
              <w:top w:val="single" w:color="auto" w:sz="2" w:space="0"/>
              <w:left w:val="single" w:color="auto" w:sz="4" w:space="0"/>
              <w:bottom w:val="single" w:color="auto" w:sz="2" w:space="0"/>
              <w:right w:val="single" w:color="auto" w:sz="4" w:space="0"/>
            </w:tcBorders>
            <w:vAlign w:val="center"/>
          </w:tcPr>
          <w:p w14:paraId="17FE6C86">
            <w:pPr>
              <w:keepNext/>
              <w:adjustRightInd w:val="0"/>
              <w:spacing w:before="60" w:after="60" w:line="360" w:lineRule="auto"/>
              <w:jc w:val="center"/>
              <w:textAlignment w:val="center"/>
              <w:rPr>
                <w:rFonts w:hint="eastAsia" w:ascii="仿宋" w:hAnsi="仿宋" w:eastAsia="仿宋"/>
                <w:sz w:val="24"/>
                <w:szCs w:val="24"/>
              </w:rPr>
            </w:pPr>
            <w:r>
              <w:rPr>
                <w:rFonts w:hint="eastAsia" w:ascii="仿宋" w:hAnsi="仿宋" w:eastAsia="仿宋"/>
                <w:sz w:val="24"/>
                <w:szCs w:val="24"/>
                <w:u w:val="single"/>
              </w:rPr>
              <w:t xml:space="preserve">    </w:t>
            </w:r>
            <w:r>
              <w:rPr>
                <w:rFonts w:hint="eastAsia" w:ascii="仿宋" w:hAnsi="仿宋" w:eastAsia="仿宋"/>
                <w:sz w:val="24"/>
                <w:szCs w:val="24"/>
              </w:rPr>
              <w:t>元/箱/年</w:t>
            </w:r>
          </w:p>
        </w:tc>
        <w:tc>
          <w:tcPr>
            <w:tcW w:w="3282" w:type="dxa"/>
            <w:tcBorders>
              <w:top w:val="single" w:color="auto" w:sz="2" w:space="0"/>
              <w:left w:val="single" w:color="auto" w:sz="4" w:space="0"/>
              <w:bottom w:val="single" w:color="auto" w:sz="2" w:space="0"/>
              <w:right w:val="single" w:color="auto" w:sz="12" w:space="0"/>
            </w:tcBorders>
            <w:vAlign w:val="center"/>
          </w:tcPr>
          <w:p w14:paraId="1695FD6A">
            <w:pPr>
              <w:snapToGrid w:val="0"/>
              <w:spacing w:line="360" w:lineRule="auto"/>
              <w:rPr>
                <w:rFonts w:hint="eastAsia" w:ascii="仿宋" w:hAnsi="仿宋" w:eastAsia="仿宋"/>
                <w:sz w:val="24"/>
                <w:szCs w:val="24"/>
              </w:rPr>
            </w:pPr>
            <w:r>
              <w:rPr>
                <w:rFonts w:hint="eastAsia" w:ascii="仿宋" w:hAnsi="仿宋" w:eastAsia="仿宋"/>
                <w:sz w:val="24"/>
                <w:szCs w:val="24"/>
              </w:rPr>
              <w:t>服务期3年或采购金额达到50万元时止，以先到者为准。项目合同期内按实结算。报价包含档案搬迁（含首次搬入成交供应商仓库和合同服务期结束搬出成交供应商仓库至采购人新合作方的仓库）、现场查阅（不限次数）、档案调阅（每年20次免费）、档案往返送费、快递费、人工送达费、破损重新包装、车辆的仓储管理、库内移动等一切在实施过程中发生的相关费用。</w:t>
            </w:r>
          </w:p>
        </w:tc>
      </w:tr>
      <w:tr w14:paraId="1EA271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981" w:type="dxa"/>
            <w:vMerge w:val="restart"/>
            <w:tcBorders>
              <w:top w:val="single" w:color="auto" w:sz="2" w:space="0"/>
              <w:left w:val="single" w:color="auto" w:sz="12" w:space="0"/>
              <w:right w:val="single" w:color="auto" w:sz="4" w:space="0"/>
            </w:tcBorders>
            <w:vAlign w:val="center"/>
          </w:tcPr>
          <w:p w14:paraId="6FC61E1E">
            <w:pPr>
              <w:adjustRightInd w:val="0"/>
              <w:snapToGrid w:val="0"/>
              <w:spacing w:line="360" w:lineRule="auto"/>
              <w:jc w:val="center"/>
              <w:rPr>
                <w:rFonts w:hint="eastAsia" w:ascii="仿宋" w:hAnsi="仿宋" w:eastAsia="仿宋"/>
                <w:bCs/>
                <w:sz w:val="24"/>
                <w:szCs w:val="24"/>
              </w:rPr>
            </w:pPr>
            <w:r>
              <w:rPr>
                <w:rFonts w:hint="eastAsia" w:ascii="仿宋" w:hAnsi="仿宋" w:eastAsia="仿宋"/>
                <w:bCs/>
                <w:sz w:val="24"/>
                <w:szCs w:val="24"/>
              </w:rPr>
              <w:t>档案调阅</w:t>
            </w:r>
          </w:p>
          <w:p w14:paraId="1E7E5E23">
            <w:pPr>
              <w:adjustRightInd w:val="0"/>
              <w:snapToGrid w:val="0"/>
              <w:spacing w:line="360" w:lineRule="auto"/>
              <w:jc w:val="center"/>
              <w:rPr>
                <w:rFonts w:hint="eastAsia" w:ascii="仿宋" w:hAnsi="仿宋" w:eastAsia="仿宋"/>
                <w:kern w:val="0"/>
                <w:sz w:val="24"/>
                <w:szCs w:val="24"/>
              </w:rPr>
            </w:pPr>
            <w:r>
              <w:rPr>
                <w:rFonts w:hint="eastAsia" w:ascii="仿宋" w:hAnsi="仿宋" w:eastAsia="仿宋"/>
                <w:bCs/>
                <w:sz w:val="24"/>
                <w:szCs w:val="24"/>
              </w:rPr>
              <w:t>（每年20次以外的调阅）</w:t>
            </w:r>
          </w:p>
        </w:tc>
        <w:tc>
          <w:tcPr>
            <w:tcW w:w="1406" w:type="dxa"/>
            <w:tcBorders>
              <w:top w:val="single" w:color="auto" w:sz="2" w:space="0"/>
              <w:left w:val="single" w:color="auto" w:sz="4" w:space="0"/>
              <w:bottom w:val="single" w:color="auto" w:sz="2" w:space="0"/>
              <w:right w:val="single" w:color="auto" w:sz="4" w:space="0"/>
            </w:tcBorders>
            <w:vAlign w:val="center"/>
          </w:tcPr>
          <w:p w14:paraId="70EE144B">
            <w:pPr>
              <w:widowControl/>
              <w:adjustRightInd w:val="0"/>
              <w:snapToGrid w:val="0"/>
              <w:spacing w:line="360" w:lineRule="auto"/>
              <w:jc w:val="center"/>
              <w:rPr>
                <w:rFonts w:hint="eastAsia" w:ascii="仿宋" w:hAnsi="仿宋" w:eastAsia="仿宋"/>
                <w:kern w:val="0"/>
                <w:sz w:val="24"/>
                <w:szCs w:val="24"/>
              </w:rPr>
            </w:pPr>
            <w:r>
              <w:rPr>
                <w:rFonts w:hint="eastAsia" w:ascii="仿宋" w:hAnsi="仿宋" w:eastAsia="仿宋"/>
                <w:bCs/>
                <w:sz w:val="24"/>
                <w:szCs w:val="24"/>
              </w:rPr>
              <w:t>普通调阅含回收</w:t>
            </w:r>
          </w:p>
        </w:tc>
        <w:tc>
          <w:tcPr>
            <w:tcW w:w="2388" w:type="dxa"/>
            <w:tcBorders>
              <w:top w:val="single" w:color="auto" w:sz="2" w:space="0"/>
              <w:left w:val="single" w:color="auto" w:sz="4" w:space="0"/>
              <w:bottom w:val="single" w:color="auto" w:sz="2" w:space="0"/>
              <w:right w:val="single" w:color="auto" w:sz="4" w:space="0"/>
            </w:tcBorders>
            <w:vAlign w:val="center"/>
          </w:tcPr>
          <w:p w14:paraId="788D6832">
            <w:pPr>
              <w:snapToGrid w:val="0"/>
              <w:spacing w:line="360" w:lineRule="auto"/>
              <w:jc w:val="center"/>
              <w:rPr>
                <w:rFonts w:hint="eastAsia" w:ascii="仿宋" w:hAnsi="仿宋" w:eastAsia="仿宋"/>
                <w:bCs/>
                <w:sz w:val="24"/>
                <w:szCs w:val="24"/>
              </w:rPr>
            </w:pPr>
            <w:r>
              <w:rPr>
                <w:rFonts w:hint="eastAsia" w:ascii="仿宋" w:hAnsi="仿宋" w:eastAsia="仿宋"/>
                <w:sz w:val="24"/>
                <w:szCs w:val="24"/>
                <w:u w:val="single"/>
              </w:rPr>
              <w:t xml:space="preserve">    </w:t>
            </w:r>
            <w:r>
              <w:rPr>
                <w:rFonts w:hint="eastAsia" w:ascii="仿宋" w:hAnsi="仿宋" w:eastAsia="仿宋"/>
                <w:bCs/>
                <w:sz w:val="24"/>
                <w:szCs w:val="24"/>
              </w:rPr>
              <w:t>元/箱/次</w:t>
            </w:r>
          </w:p>
        </w:tc>
        <w:tc>
          <w:tcPr>
            <w:tcW w:w="3282" w:type="dxa"/>
            <w:tcBorders>
              <w:top w:val="single" w:color="auto" w:sz="2" w:space="0"/>
              <w:left w:val="single" w:color="auto" w:sz="4" w:space="0"/>
              <w:bottom w:val="single" w:color="auto" w:sz="2" w:space="0"/>
              <w:right w:val="single" w:color="auto" w:sz="12" w:space="0"/>
            </w:tcBorders>
            <w:vAlign w:val="center"/>
          </w:tcPr>
          <w:p w14:paraId="63E3362E">
            <w:pPr>
              <w:autoSpaceDE w:val="0"/>
              <w:autoSpaceDN w:val="0"/>
              <w:adjustRightInd w:val="0"/>
              <w:spacing w:line="360" w:lineRule="auto"/>
              <w:rPr>
                <w:rFonts w:hint="eastAsia" w:ascii="仿宋" w:hAnsi="仿宋" w:eastAsia="仿宋" w:cs="宋体"/>
                <w:kern w:val="0"/>
                <w:sz w:val="24"/>
                <w:szCs w:val="24"/>
              </w:rPr>
            </w:pPr>
            <w:r>
              <w:rPr>
                <w:rFonts w:hint="eastAsia" w:ascii="仿宋" w:hAnsi="仿宋" w:eastAsia="仿宋" w:cs="宋体"/>
                <w:kern w:val="0"/>
                <w:sz w:val="24"/>
                <w:szCs w:val="24"/>
              </w:rPr>
              <w:t>采购人前一天下午5点前下指令，成交供应商次日下午5点前送达。</w:t>
            </w:r>
          </w:p>
        </w:tc>
      </w:tr>
      <w:tr w14:paraId="7BEB6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981" w:type="dxa"/>
            <w:vMerge w:val="continue"/>
            <w:tcBorders>
              <w:left w:val="single" w:color="auto" w:sz="12" w:space="0"/>
              <w:right w:val="single" w:color="auto" w:sz="4" w:space="0"/>
            </w:tcBorders>
            <w:vAlign w:val="center"/>
          </w:tcPr>
          <w:p w14:paraId="58F5BA2A">
            <w:pPr>
              <w:adjustRightInd w:val="0"/>
              <w:snapToGrid w:val="0"/>
              <w:spacing w:line="360" w:lineRule="auto"/>
              <w:jc w:val="center"/>
              <w:rPr>
                <w:rFonts w:hint="eastAsia" w:ascii="仿宋" w:hAnsi="仿宋" w:eastAsia="仿宋"/>
                <w:kern w:val="0"/>
                <w:sz w:val="24"/>
                <w:szCs w:val="24"/>
              </w:rPr>
            </w:pPr>
          </w:p>
        </w:tc>
        <w:tc>
          <w:tcPr>
            <w:tcW w:w="1406" w:type="dxa"/>
            <w:tcBorders>
              <w:top w:val="single" w:color="auto" w:sz="2" w:space="0"/>
              <w:left w:val="single" w:color="auto" w:sz="4" w:space="0"/>
              <w:bottom w:val="single" w:color="auto" w:sz="2" w:space="0"/>
              <w:right w:val="single" w:color="auto" w:sz="4" w:space="0"/>
            </w:tcBorders>
            <w:vAlign w:val="center"/>
          </w:tcPr>
          <w:p w14:paraId="65F3C987">
            <w:pPr>
              <w:widowControl/>
              <w:adjustRightInd w:val="0"/>
              <w:snapToGrid w:val="0"/>
              <w:spacing w:line="360" w:lineRule="auto"/>
              <w:jc w:val="center"/>
              <w:rPr>
                <w:rFonts w:hint="eastAsia" w:ascii="仿宋" w:hAnsi="仿宋" w:eastAsia="仿宋"/>
                <w:kern w:val="0"/>
                <w:sz w:val="24"/>
                <w:szCs w:val="24"/>
              </w:rPr>
            </w:pPr>
            <w:r>
              <w:rPr>
                <w:rFonts w:hint="eastAsia" w:ascii="仿宋" w:hAnsi="仿宋" w:eastAsia="仿宋"/>
                <w:bCs/>
                <w:sz w:val="24"/>
                <w:szCs w:val="24"/>
              </w:rPr>
              <w:t>紧急调阅含回收</w:t>
            </w:r>
          </w:p>
        </w:tc>
        <w:tc>
          <w:tcPr>
            <w:tcW w:w="2388" w:type="dxa"/>
            <w:tcBorders>
              <w:top w:val="single" w:color="auto" w:sz="2" w:space="0"/>
              <w:left w:val="single" w:color="auto" w:sz="4" w:space="0"/>
              <w:bottom w:val="single" w:color="auto" w:sz="2" w:space="0"/>
              <w:right w:val="single" w:color="auto" w:sz="4" w:space="0"/>
            </w:tcBorders>
            <w:vAlign w:val="center"/>
          </w:tcPr>
          <w:p w14:paraId="54872BF0">
            <w:pPr>
              <w:snapToGrid w:val="0"/>
              <w:spacing w:line="360" w:lineRule="auto"/>
              <w:jc w:val="center"/>
              <w:rPr>
                <w:rFonts w:hint="eastAsia" w:ascii="仿宋" w:hAnsi="仿宋" w:eastAsia="仿宋"/>
                <w:bCs/>
                <w:sz w:val="24"/>
                <w:szCs w:val="24"/>
              </w:rPr>
            </w:pPr>
            <w:r>
              <w:rPr>
                <w:rFonts w:hint="eastAsia" w:ascii="仿宋" w:hAnsi="仿宋" w:eastAsia="仿宋"/>
                <w:sz w:val="24"/>
                <w:szCs w:val="24"/>
                <w:u w:val="single"/>
              </w:rPr>
              <w:t xml:space="preserve">    </w:t>
            </w:r>
            <w:r>
              <w:rPr>
                <w:rFonts w:hint="eastAsia" w:ascii="仿宋" w:hAnsi="仿宋" w:eastAsia="仿宋"/>
                <w:bCs/>
                <w:sz w:val="24"/>
                <w:szCs w:val="24"/>
              </w:rPr>
              <w:t>元/箱/次</w:t>
            </w:r>
          </w:p>
        </w:tc>
        <w:tc>
          <w:tcPr>
            <w:tcW w:w="3282" w:type="dxa"/>
            <w:tcBorders>
              <w:top w:val="single" w:color="auto" w:sz="2" w:space="0"/>
              <w:left w:val="single" w:color="auto" w:sz="4" w:space="0"/>
              <w:bottom w:val="single" w:color="auto" w:sz="2" w:space="0"/>
              <w:right w:val="single" w:color="auto" w:sz="12" w:space="0"/>
            </w:tcBorders>
            <w:vAlign w:val="center"/>
          </w:tcPr>
          <w:p w14:paraId="60AD859B">
            <w:pPr>
              <w:autoSpaceDE w:val="0"/>
              <w:autoSpaceDN w:val="0"/>
              <w:adjustRightInd w:val="0"/>
              <w:spacing w:line="360" w:lineRule="auto"/>
              <w:rPr>
                <w:rFonts w:hint="eastAsia" w:ascii="仿宋" w:hAnsi="仿宋" w:eastAsia="仿宋" w:cs="宋体"/>
                <w:kern w:val="0"/>
                <w:sz w:val="24"/>
                <w:szCs w:val="24"/>
              </w:rPr>
            </w:pPr>
            <w:r>
              <w:rPr>
                <w:rFonts w:hint="eastAsia" w:ascii="仿宋" w:hAnsi="仿宋" w:eastAsia="仿宋" w:cs="宋体"/>
                <w:kern w:val="0"/>
                <w:sz w:val="24"/>
                <w:szCs w:val="24"/>
              </w:rPr>
              <w:t>自采购人下指令后，成交供应商在工作时间6小时内送达。</w:t>
            </w:r>
          </w:p>
        </w:tc>
      </w:tr>
      <w:tr w14:paraId="4A102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981" w:type="dxa"/>
            <w:vMerge w:val="continue"/>
            <w:tcBorders>
              <w:left w:val="single" w:color="auto" w:sz="12" w:space="0"/>
              <w:bottom w:val="single" w:color="auto" w:sz="2" w:space="0"/>
              <w:right w:val="single" w:color="auto" w:sz="4" w:space="0"/>
            </w:tcBorders>
            <w:vAlign w:val="center"/>
          </w:tcPr>
          <w:p w14:paraId="1126CDE2">
            <w:pPr>
              <w:adjustRightInd w:val="0"/>
              <w:snapToGrid w:val="0"/>
              <w:spacing w:line="360" w:lineRule="auto"/>
              <w:jc w:val="center"/>
              <w:rPr>
                <w:rFonts w:hint="eastAsia" w:ascii="仿宋" w:hAnsi="仿宋" w:eastAsia="仿宋"/>
                <w:kern w:val="0"/>
                <w:sz w:val="24"/>
                <w:szCs w:val="24"/>
              </w:rPr>
            </w:pPr>
          </w:p>
        </w:tc>
        <w:tc>
          <w:tcPr>
            <w:tcW w:w="1406" w:type="dxa"/>
            <w:tcBorders>
              <w:top w:val="single" w:color="auto" w:sz="2" w:space="0"/>
              <w:left w:val="single" w:color="auto" w:sz="4" w:space="0"/>
              <w:bottom w:val="single" w:color="auto" w:sz="2" w:space="0"/>
              <w:right w:val="single" w:color="auto" w:sz="4" w:space="0"/>
            </w:tcBorders>
            <w:vAlign w:val="center"/>
          </w:tcPr>
          <w:p w14:paraId="18B51E36">
            <w:pPr>
              <w:widowControl/>
              <w:adjustRightInd w:val="0"/>
              <w:snapToGrid w:val="0"/>
              <w:spacing w:line="360" w:lineRule="auto"/>
              <w:jc w:val="center"/>
              <w:rPr>
                <w:rFonts w:hint="eastAsia" w:ascii="仿宋" w:hAnsi="仿宋" w:eastAsia="仿宋"/>
                <w:kern w:val="0"/>
                <w:sz w:val="24"/>
                <w:szCs w:val="24"/>
              </w:rPr>
            </w:pPr>
            <w:r>
              <w:rPr>
                <w:rFonts w:hint="eastAsia" w:ascii="仿宋" w:hAnsi="仿宋" w:eastAsia="仿宋"/>
                <w:bCs/>
                <w:sz w:val="24"/>
                <w:szCs w:val="24"/>
              </w:rPr>
              <w:t>特殊调阅含回收</w:t>
            </w:r>
          </w:p>
        </w:tc>
        <w:tc>
          <w:tcPr>
            <w:tcW w:w="2388" w:type="dxa"/>
            <w:tcBorders>
              <w:top w:val="single" w:color="auto" w:sz="2" w:space="0"/>
              <w:left w:val="single" w:color="auto" w:sz="4" w:space="0"/>
              <w:bottom w:val="single" w:color="auto" w:sz="2" w:space="0"/>
              <w:right w:val="single" w:color="auto" w:sz="4" w:space="0"/>
            </w:tcBorders>
            <w:vAlign w:val="center"/>
          </w:tcPr>
          <w:p w14:paraId="7754BF8D">
            <w:pPr>
              <w:snapToGrid w:val="0"/>
              <w:spacing w:line="360" w:lineRule="auto"/>
              <w:jc w:val="center"/>
              <w:rPr>
                <w:rFonts w:hint="eastAsia" w:ascii="仿宋" w:hAnsi="仿宋" w:eastAsia="仿宋"/>
                <w:bCs/>
                <w:sz w:val="24"/>
                <w:szCs w:val="24"/>
              </w:rPr>
            </w:pPr>
            <w:r>
              <w:rPr>
                <w:rFonts w:hint="eastAsia" w:ascii="仿宋" w:hAnsi="仿宋" w:eastAsia="仿宋"/>
                <w:sz w:val="24"/>
                <w:szCs w:val="24"/>
                <w:u w:val="single"/>
              </w:rPr>
              <w:t xml:space="preserve">    </w:t>
            </w:r>
            <w:r>
              <w:rPr>
                <w:rFonts w:hint="eastAsia" w:ascii="仿宋" w:hAnsi="仿宋" w:eastAsia="仿宋"/>
                <w:bCs/>
                <w:sz w:val="24"/>
                <w:szCs w:val="24"/>
              </w:rPr>
              <w:t>元/箱/次</w:t>
            </w:r>
          </w:p>
        </w:tc>
        <w:tc>
          <w:tcPr>
            <w:tcW w:w="3282" w:type="dxa"/>
            <w:tcBorders>
              <w:top w:val="single" w:color="auto" w:sz="2" w:space="0"/>
              <w:left w:val="single" w:color="auto" w:sz="4" w:space="0"/>
              <w:bottom w:val="single" w:color="auto" w:sz="2" w:space="0"/>
              <w:right w:val="single" w:color="auto" w:sz="12" w:space="0"/>
            </w:tcBorders>
            <w:vAlign w:val="center"/>
          </w:tcPr>
          <w:p w14:paraId="09457E6F">
            <w:pPr>
              <w:autoSpaceDE w:val="0"/>
              <w:autoSpaceDN w:val="0"/>
              <w:adjustRightInd w:val="0"/>
              <w:spacing w:line="360" w:lineRule="auto"/>
              <w:rPr>
                <w:rFonts w:hint="eastAsia" w:ascii="仿宋" w:hAnsi="仿宋" w:eastAsia="仿宋" w:cs="宋体"/>
                <w:kern w:val="0"/>
                <w:sz w:val="24"/>
                <w:szCs w:val="24"/>
              </w:rPr>
            </w:pPr>
            <w:r>
              <w:rPr>
                <w:rFonts w:hint="eastAsia" w:ascii="仿宋" w:hAnsi="仿宋" w:eastAsia="仿宋" w:cs="宋体"/>
                <w:kern w:val="0"/>
                <w:sz w:val="24"/>
                <w:szCs w:val="24"/>
              </w:rPr>
              <w:t>国家法定节假日调出，自采购人下指令后，成交供应商在工作时间6小时内送达。</w:t>
            </w:r>
          </w:p>
        </w:tc>
      </w:tr>
      <w:tr w14:paraId="26CCB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981" w:type="dxa"/>
            <w:tcBorders>
              <w:top w:val="single" w:color="auto" w:sz="2" w:space="0"/>
              <w:left w:val="single" w:color="auto" w:sz="12" w:space="0"/>
              <w:bottom w:val="single" w:color="auto" w:sz="2" w:space="0"/>
              <w:right w:val="single" w:color="auto" w:sz="4" w:space="0"/>
            </w:tcBorders>
            <w:vAlign w:val="center"/>
          </w:tcPr>
          <w:p w14:paraId="6882C812">
            <w:pPr>
              <w:adjustRightInd w:val="0"/>
              <w:snapToGrid w:val="0"/>
              <w:spacing w:line="360" w:lineRule="auto"/>
              <w:jc w:val="center"/>
              <w:rPr>
                <w:rFonts w:hint="eastAsia" w:ascii="仿宋" w:hAnsi="仿宋" w:eastAsia="仿宋"/>
                <w:bCs/>
                <w:sz w:val="24"/>
                <w:szCs w:val="24"/>
              </w:rPr>
            </w:pPr>
            <w:r>
              <w:rPr>
                <w:rFonts w:hint="eastAsia" w:ascii="仿宋" w:hAnsi="仿宋" w:eastAsia="仿宋"/>
                <w:bCs/>
                <w:sz w:val="24"/>
                <w:szCs w:val="24"/>
              </w:rPr>
              <w:t>纸箱、锁条、条形码、防水袋</w:t>
            </w:r>
          </w:p>
        </w:tc>
        <w:tc>
          <w:tcPr>
            <w:tcW w:w="1406" w:type="dxa"/>
            <w:tcBorders>
              <w:top w:val="single" w:color="auto" w:sz="2" w:space="0"/>
              <w:left w:val="single" w:color="auto" w:sz="4" w:space="0"/>
              <w:bottom w:val="single" w:color="auto" w:sz="2" w:space="0"/>
              <w:right w:val="single" w:color="auto" w:sz="4" w:space="0"/>
            </w:tcBorders>
            <w:vAlign w:val="center"/>
          </w:tcPr>
          <w:p w14:paraId="7C425365">
            <w:pPr>
              <w:widowControl/>
              <w:spacing w:line="360" w:lineRule="auto"/>
              <w:jc w:val="center"/>
              <w:rPr>
                <w:rFonts w:hint="eastAsia" w:ascii="仿宋" w:hAnsi="仿宋" w:eastAsia="仿宋"/>
                <w:kern w:val="0"/>
                <w:sz w:val="24"/>
                <w:szCs w:val="24"/>
              </w:rPr>
            </w:pPr>
            <w:r>
              <w:rPr>
                <w:rFonts w:hint="eastAsia" w:ascii="仿宋" w:hAnsi="仿宋" w:eastAsia="仿宋"/>
                <w:kern w:val="0"/>
                <w:sz w:val="24"/>
                <w:szCs w:val="24"/>
              </w:rPr>
              <w:t>按实结算</w:t>
            </w:r>
          </w:p>
        </w:tc>
        <w:tc>
          <w:tcPr>
            <w:tcW w:w="2388" w:type="dxa"/>
            <w:tcBorders>
              <w:top w:val="single" w:color="auto" w:sz="2" w:space="0"/>
              <w:left w:val="single" w:color="auto" w:sz="4" w:space="0"/>
              <w:bottom w:val="single" w:color="auto" w:sz="2" w:space="0"/>
              <w:right w:val="single" w:color="auto" w:sz="4" w:space="0"/>
            </w:tcBorders>
            <w:vAlign w:val="center"/>
          </w:tcPr>
          <w:p w14:paraId="1786495F">
            <w:pPr>
              <w:snapToGrid w:val="0"/>
              <w:spacing w:line="360" w:lineRule="auto"/>
              <w:jc w:val="center"/>
              <w:rPr>
                <w:rFonts w:hint="eastAsia" w:ascii="仿宋" w:hAnsi="仿宋" w:eastAsia="仿宋"/>
                <w:bCs/>
                <w:sz w:val="24"/>
                <w:szCs w:val="24"/>
              </w:rPr>
            </w:pPr>
            <w:r>
              <w:rPr>
                <w:rFonts w:hint="eastAsia" w:ascii="仿宋" w:hAnsi="仿宋" w:eastAsia="仿宋"/>
                <w:sz w:val="24"/>
                <w:szCs w:val="24"/>
              </w:rPr>
              <w:t>纸箱：</w:t>
            </w:r>
            <w:r>
              <w:rPr>
                <w:rFonts w:hint="eastAsia" w:ascii="仿宋" w:hAnsi="仿宋" w:eastAsia="仿宋"/>
                <w:sz w:val="24"/>
                <w:szCs w:val="24"/>
                <w:u w:val="single"/>
              </w:rPr>
              <w:t xml:space="preserve">    </w:t>
            </w:r>
            <w:r>
              <w:rPr>
                <w:rFonts w:hint="eastAsia" w:ascii="仿宋" w:hAnsi="仿宋" w:eastAsia="仿宋"/>
                <w:bCs/>
                <w:sz w:val="24"/>
                <w:szCs w:val="24"/>
              </w:rPr>
              <w:t>元/个</w:t>
            </w:r>
          </w:p>
          <w:p w14:paraId="15B988C5">
            <w:pPr>
              <w:snapToGrid w:val="0"/>
              <w:spacing w:line="360" w:lineRule="auto"/>
              <w:jc w:val="center"/>
              <w:rPr>
                <w:rFonts w:hint="eastAsia" w:ascii="仿宋" w:hAnsi="仿宋" w:eastAsia="仿宋"/>
                <w:bCs/>
                <w:sz w:val="24"/>
                <w:szCs w:val="24"/>
              </w:rPr>
            </w:pPr>
            <w:r>
              <w:rPr>
                <w:rFonts w:hint="eastAsia" w:ascii="仿宋" w:hAnsi="仿宋" w:eastAsia="仿宋"/>
                <w:bCs/>
                <w:sz w:val="24"/>
                <w:szCs w:val="24"/>
              </w:rPr>
              <w:t>锁条：</w:t>
            </w:r>
            <w:r>
              <w:rPr>
                <w:rFonts w:hint="eastAsia" w:ascii="仿宋" w:hAnsi="仿宋" w:eastAsia="仿宋"/>
                <w:sz w:val="24"/>
                <w:szCs w:val="24"/>
                <w:u w:val="single"/>
              </w:rPr>
              <w:t xml:space="preserve">    </w:t>
            </w:r>
            <w:r>
              <w:rPr>
                <w:rFonts w:hint="eastAsia" w:ascii="仿宋" w:hAnsi="仿宋" w:eastAsia="仿宋"/>
                <w:bCs/>
                <w:sz w:val="24"/>
                <w:szCs w:val="24"/>
              </w:rPr>
              <w:t>元/个</w:t>
            </w:r>
          </w:p>
          <w:p w14:paraId="09C0BD72">
            <w:pPr>
              <w:snapToGrid w:val="0"/>
              <w:spacing w:line="360" w:lineRule="auto"/>
              <w:jc w:val="center"/>
              <w:rPr>
                <w:rFonts w:hint="eastAsia" w:ascii="仿宋" w:hAnsi="仿宋" w:eastAsia="仿宋"/>
                <w:bCs/>
                <w:sz w:val="24"/>
                <w:szCs w:val="24"/>
              </w:rPr>
            </w:pPr>
            <w:r>
              <w:rPr>
                <w:rFonts w:hint="eastAsia" w:ascii="仿宋" w:hAnsi="仿宋" w:eastAsia="仿宋"/>
                <w:bCs/>
                <w:sz w:val="24"/>
                <w:szCs w:val="24"/>
              </w:rPr>
              <w:t>条形码：</w:t>
            </w:r>
            <w:r>
              <w:rPr>
                <w:rFonts w:hint="eastAsia" w:ascii="仿宋" w:hAnsi="仿宋" w:eastAsia="仿宋"/>
                <w:sz w:val="24"/>
                <w:szCs w:val="24"/>
                <w:u w:val="single"/>
              </w:rPr>
              <w:t xml:space="preserve">    </w:t>
            </w:r>
            <w:r>
              <w:rPr>
                <w:rFonts w:hint="eastAsia" w:ascii="仿宋" w:hAnsi="仿宋" w:eastAsia="仿宋"/>
                <w:bCs/>
                <w:sz w:val="24"/>
                <w:szCs w:val="24"/>
              </w:rPr>
              <w:t>元/个</w:t>
            </w:r>
          </w:p>
          <w:p w14:paraId="423063A7">
            <w:pPr>
              <w:snapToGrid w:val="0"/>
              <w:spacing w:line="360" w:lineRule="auto"/>
              <w:jc w:val="center"/>
              <w:rPr>
                <w:rFonts w:hint="eastAsia" w:ascii="仿宋" w:hAnsi="仿宋" w:eastAsia="仿宋"/>
                <w:bCs/>
                <w:sz w:val="24"/>
                <w:szCs w:val="24"/>
              </w:rPr>
            </w:pPr>
            <w:r>
              <w:rPr>
                <w:rFonts w:hint="eastAsia" w:ascii="仿宋" w:hAnsi="仿宋" w:eastAsia="仿宋"/>
                <w:bCs/>
                <w:sz w:val="24"/>
                <w:szCs w:val="24"/>
              </w:rPr>
              <w:t>防水袋：</w:t>
            </w:r>
            <w:r>
              <w:rPr>
                <w:rFonts w:hint="eastAsia" w:ascii="仿宋" w:hAnsi="仿宋" w:eastAsia="仿宋"/>
                <w:sz w:val="24"/>
                <w:szCs w:val="24"/>
                <w:u w:val="single"/>
              </w:rPr>
              <w:t xml:space="preserve">    </w:t>
            </w:r>
            <w:r>
              <w:rPr>
                <w:rFonts w:hint="eastAsia" w:ascii="仿宋" w:hAnsi="仿宋" w:eastAsia="仿宋"/>
                <w:bCs/>
                <w:sz w:val="24"/>
                <w:szCs w:val="24"/>
              </w:rPr>
              <w:t>元/个</w:t>
            </w:r>
          </w:p>
        </w:tc>
        <w:tc>
          <w:tcPr>
            <w:tcW w:w="3282" w:type="dxa"/>
            <w:tcBorders>
              <w:top w:val="single" w:color="auto" w:sz="2" w:space="0"/>
              <w:left w:val="single" w:color="auto" w:sz="4" w:space="0"/>
              <w:bottom w:val="single" w:color="auto" w:sz="2" w:space="0"/>
              <w:right w:val="single" w:color="auto" w:sz="12" w:space="0"/>
            </w:tcBorders>
            <w:vAlign w:val="center"/>
          </w:tcPr>
          <w:p w14:paraId="556BE212">
            <w:pPr>
              <w:snapToGrid w:val="0"/>
              <w:spacing w:line="360" w:lineRule="auto"/>
              <w:rPr>
                <w:rFonts w:hint="eastAsia" w:ascii="仿宋" w:hAnsi="仿宋" w:eastAsia="仿宋"/>
                <w:bCs/>
                <w:color w:val="auto"/>
                <w:sz w:val="24"/>
                <w:szCs w:val="24"/>
              </w:rPr>
            </w:pPr>
            <w:r>
              <w:rPr>
                <w:rFonts w:hint="eastAsia" w:ascii="仿宋" w:hAnsi="仿宋" w:eastAsia="仿宋"/>
                <w:bCs/>
                <w:color w:val="auto"/>
                <w:sz w:val="24"/>
                <w:szCs w:val="24"/>
              </w:rPr>
              <w:t>纸箱规格：</w:t>
            </w:r>
            <w:r>
              <w:rPr>
                <w:rFonts w:hint="eastAsia" w:ascii="仿宋" w:hAnsi="仿宋" w:eastAsia="仿宋"/>
                <w:color w:val="auto"/>
                <w:sz w:val="24"/>
                <w:szCs w:val="24"/>
              </w:rPr>
              <w:t>长：≥45cm、宽：≥35cm、高：≥25cm、厚度≥3mm，至少三层板，空箱测压≥3400N，耐破强度≥2000kPa，边压强度≥7000N/m，滴水面纸3分钟不出现渗漏。</w:t>
            </w:r>
          </w:p>
        </w:tc>
      </w:tr>
    </w:tbl>
    <w:p w14:paraId="16620E88">
      <w:pPr>
        <w:snapToGrid w:val="0"/>
        <w:spacing w:line="360" w:lineRule="auto"/>
        <w:rPr>
          <w:rFonts w:hint="eastAsia" w:ascii="仿宋" w:hAnsi="仿宋" w:eastAsia="仿宋"/>
          <w:sz w:val="24"/>
          <w:szCs w:val="24"/>
        </w:rPr>
      </w:pPr>
      <w:r>
        <w:rPr>
          <w:rFonts w:hint="eastAsia" w:ascii="仿宋" w:hAnsi="仿宋" w:eastAsia="仿宋"/>
          <w:sz w:val="24"/>
          <w:szCs w:val="24"/>
        </w:rPr>
        <w:t>服务费以上述对应单价*实际服务量结算，每年的服务量以合同双方书面确认的量为准。</w:t>
      </w:r>
    </w:p>
    <w:p w14:paraId="1105512E">
      <w:pPr>
        <w:snapToGrid w:val="0"/>
        <w:spacing w:line="360" w:lineRule="auto"/>
        <w:rPr>
          <w:rFonts w:hint="eastAsia" w:ascii="仿宋" w:hAnsi="仿宋" w:eastAsia="仿宋"/>
          <w:sz w:val="24"/>
          <w:szCs w:val="24"/>
        </w:rPr>
      </w:pPr>
      <w:r>
        <w:rPr>
          <w:rFonts w:hint="eastAsia" w:ascii="仿宋" w:hAnsi="仿宋" w:eastAsia="仿宋"/>
          <w:sz w:val="24"/>
          <w:szCs w:val="24"/>
        </w:rPr>
        <w:t>纸箱、锁条、条形码、防水袋样例如下，以供参考：</w:t>
      </w:r>
    </w:p>
    <w:p w14:paraId="5E0644E7">
      <w:pPr>
        <w:snapToGrid w:val="0"/>
        <w:spacing w:line="360" w:lineRule="auto"/>
        <w:rPr>
          <w:rFonts w:hint="eastAsia" w:ascii="仿宋" w:hAnsi="仿宋" w:eastAsia="仿宋"/>
          <w:sz w:val="24"/>
          <w:szCs w:val="24"/>
        </w:rPr>
      </w:pPr>
      <w:r>
        <w:rPr>
          <w:rFonts w:hint="eastAsia" w:ascii="仿宋" w:hAnsi="仿宋" w:eastAsia="仿宋"/>
          <w:sz w:val="24"/>
          <w:szCs w:val="24"/>
        </w:rPr>
        <w:drawing>
          <wp:inline distT="0" distB="0" distL="0" distR="0">
            <wp:extent cx="6181725" cy="4467225"/>
            <wp:effectExtent l="0" t="0" r="9525" b="9525"/>
            <wp:docPr id="13102486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48672"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181725" cy="4467225"/>
                    </a:xfrm>
                    <a:prstGeom prst="rect">
                      <a:avLst/>
                    </a:prstGeom>
                    <a:noFill/>
                  </pic:spPr>
                </pic:pic>
              </a:graphicData>
            </a:graphic>
          </wp:inline>
        </w:drawing>
      </w:r>
    </w:p>
    <w:p w14:paraId="4AD42DBB">
      <w:pPr>
        <w:tabs>
          <w:tab w:val="left" w:pos="420"/>
          <w:tab w:val="left" w:pos="540"/>
        </w:tabs>
        <w:adjustRightInd w:val="0"/>
        <w:snapToGrid w:val="0"/>
        <w:spacing w:line="360" w:lineRule="auto"/>
        <w:outlineLvl w:val="0"/>
        <w:rPr>
          <w:rFonts w:hint="eastAsia" w:ascii="仿宋" w:hAnsi="仿宋" w:eastAsia="仿宋"/>
          <w:b/>
          <w:kern w:val="0"/>
          <w:sz w:val="24"/>
          <w:szCs w:val="24"/>
        </w:rPr>
      </w:pPr>
      <w:r>
        <w:rPr>
          <w:rFonts w:hint="eastAsia" w:ascii="仿宋" w:hAnsi="仿宋" w:eastAsia="仿宋"/>
          <w:b/>
          <w:kern w:val="0"/>
          <w:sz w:val="24"/>
          <w:szCs w:val="24"/>
        </w:rPr>
        <w:t>四、具体要求</w:t>
      </w:r>
    </w:p>
    <w:p w14:paraId="48EB2CDC">
      <w:pPr>
        <w:tabs>
          <w:tab w:val="left" w:pos="420"/>
          <w:tab w:val="left" w:pos="540"/>
        </w:tabs>
        <w:adjustRightInd w:val="0"/>
        <w:snapToGrid w:val="0"/>
        <w:spacing w:line="360" w:lineRule="auto"/>
        <w:outlineLvl w:val="1"/>
        <w:rPr>
          <w:rFonts w:hint="eastAsia" w:ascii="仿宋" w:hAnsi="仿宋" w:eastAsia="仿宋"/>
          <w:b/>
          <w:bCs/>
          <w:kern w:val="0"/>
          <w:sz w:val="24"/>
          <w:szCs w:val="24"/>
        </w:rPr>
      </w:pPr>
      <w:r>
        <w:rPr>
          <w:rFonts w:ascii="仿宋" w:hAnsi="仿宋" w:eastAsia="仿宋"/>
          <w:b/>
          <w:bCs/>
          <w:kern w:val="0"/>
          <w:sz w:val="24"/>
          <w:szCs w:val="24"/>
        </w:rPr>
        <w:t>（一）仓库基础要求</w:t>
      </w:r>
    </w:p>
    <w:p w14:paraId="0124CA2B">
      <w:pPr>
        <w:numPr>
          <w:ilvl w:val="0"/>
          <w:numId w:val="3"/>
        </w:numPr>
        <w:tabs>
          <w:tab w:val="left" w:pos="420"/>
        </w:tabs>
        <w:snapToGrid w:val="0"/>
        <w:spacing w:line="360" w:lineRule="auto"/>
        <w:rPr>
          <w:rFonts w:hint="eastAsia" w:ascii="仿宋" w:hAnsi="仿宋" w:eastAsia="仿宋"/>
          <w:sz w:val="24"/>
          <w:szCs w:val="24"/>
        </w:rPr>
      </w:pPr>
      <w:r>
        <w:rPr>
          <w:rFonts w:ascii="仿宋" w:hAnsi="仿宋" w:eastAsia="仿宋"/>
          <w:sz w:val="24"/>
          <w:szCs w:val="24"/>
        </w:rPr>
        <w:t>仓库位置：位于广东省内，交通便利，与市政一级道路有良好连接。供应商须提供仓库交通示意图（</w:t>
      </w:r>
      <w:r>
        <w:rPr>
          <w:rFonts w:hint="eastAsia" w:ascii="仿宋" w:hAnsi="仿宋" w:eastAsia="仿宋"/>
          <w:sz w:val="24"/>
          <w:szCs w:val="24"/>
        </w:rPr>
        <w:t>高德地图</w:t>
      </w:r>
      <w:r>
        <w:rPr>
          <w:rFonts w:ascii="仿宋" w:hAnsi="仿宋" w:eastAsia="仿宋"/>
          <w:sz w:val="24"/>
          <w:szCs w:val="24"/>
        </w:rPr>
        <w:t>截图并加盖公章，以最短路径为准）。</w:t>
      </w:r>
    </w:p>
    <w:p w14:paraId="7B6C89B7">
      <w:pPr>
        <w:numPr>
          <w:ilvl w:val="0"/>
          <w:numId w:val="3"/>
        </w:numPr>
        <w:tabs>
          <w:tab w:val="left" w:pos="420"/>
        </w:tabs>
        <w:snapToGrid w:val="0"/>
        <w:spacing w:line="360" w:lineRule="auto"/>
        <w:rPr>
          <w:rFonts w:hint="eastAsia" w:ascii="仿宋" w:hAnsi="仿宋" w:eastAsia="仿宋"/>
          <w:sz w:val="24"/>
          <w:szCs w:val="24"/>
        </w:rPr>
      </w:pPr>
      <w:r>
        <w:rPr>
          <w:rFonts w:ascii="仿宋" w:hAnsi="仿宋" w:eastAsia="仿宋"/>
          <w:sz w:val="24"/>
          <w:szCs w:val="24"/>
        </w:rPr>
        <w:t>独立使用：存储采购人档案的区域须单独使用，不得与其他单位或个人共用。</w:t>
      </w:r>
    </w:p>
    <w:p w14:paraId="0DEC373B">
      <w:pPr>
        <w:numPr>
          <w:ilvl w:val="0"/>
          <w:numId w:val="3"/>
        </w:numPr>
        <w:tabs>
          <w:tab w:val="left" w:pos="420"/>
        </w:tabs>
        <w:snapToGrid w:val="0"/>
        <w:spacing w:line="360" w:lineRule="auto"/>
        <w:rPr>
          <w:rFonts w:hint="eastAsia" w:ascii="仿宋" w:hAnsi="仿宋" w:eastAsia="仿宋"/>
          <w:sz w:val="24"/>
          <w:szCs w:val="24"/>
        </w:rPr>
      </w:pPr>
      <w:r>
        <w:rPr>
          <w:rFonts w:ascii="仿宋" w:hAnsi="仿宋" w:eastAsia="仿宋"/>
          <w:sz w:val="24"/>
          <w:szCs w:val="24"/>
        </w:rPr>
        <w:t>消防安全：须提供公安机关消防主管部门出具的消防合格凭证，配备合格消防设施。</w:t>
      </w:r>
    </w:p>
    <w:p w14:paraId="3A0F9A4A">
      <w:pPr>
        <w:numPr>
          <w:ilvl w:val="0"/>
          <w:numId w:val="3"/>
        </w:numPr>
        <w:tabs>
          <w:tab w:val="left" w:pos="420"/>
        </w:tabs>
        <w:snapToGrid w:val="0"/>
        <w:spacing w:line="360" w:lineRule="auto"/>
        <w:rPr>
          <w:rFonts w:hint="eastAsia" w:ascii="仿宋" w:hAnsi="仿宋" w:eastAsia="仿宋"/>
          <w:sz w:val="24"/>
          <w:szCs w:val="24"/>
        </w:rPr>
      </w:pPr>
      <w:r>
        <w:rPr>
          <w:rFonts w:hint="eastAsia" w:ascii="仿宋" w:hAnsi="仿宋" w:eastAsia="仿宋"/>
          <w:b/>
          <w:bCs/>
          <w:kern w:val="0"/>
          <w:sz w:val="24"/>
          <w:szCs w:val="24"/>
        </w:rPr>
        <w:t>★</w:t>
      </w:r>
      <w:r>
        <w:rPr>
          <w:rFonts w:ascii="仿宋" w:hAnsi="仿宋" w:eastAsia="仿宋"/>
          <w:sz w:val="24"/>
          <w:szCs w:val="24"/>
        </w:rPr>
        <w:t>场地权属：提供仓库场地合法使用证明（自有房产提供房产证复印件；租赁的提供租赁合同及房产证复印件，均加盖公章）。</w:t>
      </w:r>
    </w:p>
    <w:p w14:paraId="039EEA25">
      <w:pPr>
        <w:numPr>
          <w:ilvl w:val="0"/>
          <w:numId w:val="3"/>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弹性空间：由于每年的档案数量并非恒定，因此供应商须按实际需托管的档案数量提供仓储空间。</w:t>
      </w:r>
    </w:p>
    <w:p w14:paraId="02893814">
      <w:pPr>
        <w:numPr>
          <w:ilvl w:val="0"/>
          <w:numId w:val="3"/>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搬迁准备：中标后，档案需要从现存放点：【广东省珠海市斗门区乾务镇西进工业区H栋银雁科技库房、广州市越秀区东风东路651号中山大学肿瘤防治中心越秀院区、广州市黄埔区中新广州知识城开阳五路</w:t>
      </w:r>
      <w:r>
        <w:rPr>
          <w:rFonts w:ascii="仿宋" w:hAnsi="仿宋" w:eastAsia="仿宋"/>
          <w:sz w:val="24"/>
          <w:szCs w:val="24"/>
        </w:rPr>
        <w:t>1</w:t>
      </w:r>
      <w:r>
        <w:rPr>
          <w:rFonts w:hint="eastAsia" w:ascii="仿宋" w:hAnsi="仿宋" w:eastAsia="仿宋"/>
          <w:sz w:val="24"/>
          <w:szCs w:val="24"/>
        </w:rPr>
        <w:t>号中山大学肿瘤防治中心黄埔院区、广州市越秀区融通街华泰宾馆翠园楼、广州市越秀区青菜岗21号大院等地址】搬迁至新的仓储点。</w:t>
      </w:r>
    </w:p>
    <w:p w14:paraId="6539184D">
      <w:pPr>
        <w:numPr>
          <w:ilvl w:val="0"/>
          <w:numId w:val="3"/>
        </w:numPr>
        <w:tabs>
          <w:tab w:val="left" w:pos="420"/>
        </w:tabs>
        <w:snapToGrid w:val="0"/>
        <w:spacing w:line="360" w:lineRule="auto"/>
        <w:rPr>
          <w:rFonts w:hint="eastAsia" w:ascii="仿宋" w:hAnsi="仿宋" w:eastAsia="仿宋"/>
          <w:sz w:val="24"/>
          <w:szCs w:val="24"/>
        </w:rPr>
      </w:pPr>
      <w:bookmarkStart w:id="0" w:name="_Toc422784817"/>
      <w:r>
        <w:rPr>
          <w:rFonts w:hint="eastAsia" w:ascii="仿宋" w:hAnsi="仿宋" w:eastAsia="仿宋"/>
          <w:b/>
          <w:bCs/>
          <w:kern w:val="0"/>
          <w:sz w:val="24"/>
          <w:szCs w:val="24"/>
        </w:rPr>
        <w:t>★</w:t>
      </w:r>
      <w:r>
        <w:rPr>
          <w:rFonts w:ascii="仿宋" w:hAnsi="仿宋" w:eastAsia="仿宋"/>
          <w:sz w:val="24"/>
          <w:szCs w:val="24"/>
        </w:rPr>
        <w:t>防潮要求：最底层档案须离地面10公分以上（提供承诺函，格式自拟，加盖公章）。</w:t>
      </w:r>
    </w:p>
    <w:p w14:paraId="5A66354A">
      <w:pPr>
        <w:numPr>
          <w:ilvl w:val="0"/>
          <w:numId w:val="3"/>
        </w:numPr>
        <w:tabs>
          <w:tab w:val="left" w:pos="420"/>
        </w:tabs>
        <w:snapToGrid w:val="0"/>
        <w:spacing w:line="360" w:lineRule="auto"/>
        <w:rPr>
          <w:rFonts w:hint="eastAsia" w:ascii="仿宋" w:hAnsi="仿宋" w:eastAsia="仿宋"/>
          <w:sz w:val="24"/>
          <w:szCs w:val="24"/>
        </w:rPr>
      </w:pPr>
      <w:r>
        <w:rPr>
          <w:rFonts w:hint="eastAsia" w:ascii="仿宋" w:hAnsi="仿宋" w:eastAsia="仿宋"/>
          <w:b/>
          <w:bCs/>
          <w:kern w:val="0"/>
          <w:sz w:val="24"/>
          <w:szCs w:val="24"/>
        </w:rPr>
        <w:t>★</w:t>
      </w:r>
      <w:r>
        <w:rPr>
          <w:rFonts w:ascii="仿宋" w:hAnsi="仿宋" w:eastAsia="仿宋"/>
          <w:sz w:val="24"/>
          <w:szCs w:val="24"/>
        </w:rPr>
        <w:t>周边环境：仓库周边50米范围内不得存放易燃、易爆及化学品。</w:t>
      </w:r>
    </w:p>
    <w:p w14:paraId="1E173745">
      <w:pPr>
        <w:numPr>
          <w:ilvl w:val="0"/>
          <w:numId w:val="3"/>
        </w:numPr>
        <w:tabs>
          <w:tab w:val="left" w:pos="420"/>
        </w:tabs>
        <w:snapToGrid w:val="0"/>
        <w:spacing w:line="360" w:lineRule="auto"/>
        <w:rPr>
          <w:rFonts w:hint="eastAsia" w:ascii="仿宋" w:hAnsi="仿宋" w:eastAsia="仿宋"/>
          <w:sz w:val="24"/>
          <w:szCs w:val="24"/>
        </w:rPr>
      </w:pPr>
      <w:r>
        <w:rPr>
          <w:rFonts w:ascii="仿宋" w:hAnsi="仿宋" w:eastAsia="仿宋"/>
          <w:sz w:val="24"/>
          <w:szCs w:val="24"/>
        </w:rPr>
        <w:t>包装维护：纸箱损坏时，供应商须抽真空并重新打包，费用自理；保管期间须保证纸箱完好、密封。</w:t>
      </w:r>
    </w:p>
    <w:p w14:paraId="7BB00E4E">
      <w:pPr>
        <w:numPr>
          <w:ilvl w:val="0"/>
          <w:numId w:val="3"/>
        </w:numPr>
        <w:tabs>
          <w:tab w:val="left" w:pos="420"/>
        </w:tabs>
        <w:snapToGrid w:val="0"/>
        <w:spacing w:line="360" w:lineRule="auto"/>
        <w:rPr>
          <w:rFonts w:hint="eastAsia" w:ascii="仿宋" w:hAnsi="仿宋" w:eastAsia="仿宋"/>
          <w:sz w:val="24"/>
          <w:szCs w:val="24"/>
        </w:rPr>
      </w:pPr>
      <w:r>
        <w:rPr>
          <w:rFonts w:ascii="仿宋" w:hAnsi="仿宋" w:eastAsia="仿宋"/>
          <w:sz w:val="24"/>
          <w:szCs w:val="24"/>
        </w:rPr>
        <w:t>排序存储：须按顺序排列存储采购人档案。</w:t>
      </w:r>
    </w:p>
    <w:bookmarkEnd w:id="0"/>
    <w:p w14:paraId="2C21C80A">
      <w:pPr>
        <w:tabs>
          <w:tab w:val="left" w:pos="420"/>
          <w:tab w:val="left" w:pos="540"/>
        </w:tabs>
        <w:adjustRightInd w:val="0"/>
        <w:snapToGrid w:val="0"/>
        <w:spacing w:line="360" w:lineRule="auto"/>
        <w:ind w:left="181"/>
        <w:outlineLvl w:val="1"/>
        <w:rPr>
          <w:rFonts w:hint="eastAsia" w:ascii="仿宋" w:hAnsi="仿宋" w:eastAsia="仿宋"/>
          <w:b/>
          <w:bCs/>
          <w:kern w:val="0"/>
          <w:sz w:val="24"/>
          <w:szCs w:val="24"/>
        </w:rPr>
      </w:pPr>
      <w:r>
        <w:rPr>
          <w:rFonts w:ascii="仿宋" w:hAnsi="仿宋" w:eastAsia="仿宋"/>
          <w:b/>
          <w:bCs/>
          <w:kern w:val="0"/>
          <w:sz w:val="24"/>
          <w:szCs w:val="24"/>
        </w:rPr>
        <w:t>（</w:t>
      </w:r>
      <w:r>
        <w:rPr>
          <w:rFonts w:hint="eastAsia" w:ascii="仿宋" w:hAnsi="仿宋" w:eastAsia="仿宋"/>
          <w:b/>
          <w:bCs/>
          <w:kern w:val="0"/>
          <w:sz w:val="24"/>
          <w:szCs w:val="24"/>
        </w:rPr>
        <w:t>二</w:t>
      </w:r>
      <w:r>
        <w:rPr>
          <w:rFonts w:ascii="仿宋" w:hAnsi="仿宋" w:eastAsia="仿宋"/>
          <w:b/>
          <w:bCs/>
          <w:kern w:val="0"/>
          <w:sz w:val="24"/>
          <w:szCs w:val="24"/>
        </w:rPr>
        <w:t>）</w:t>
      </w:r>
      <w:r>
        <w:rPr>
          <w:rFonts w:hint="eastAsia" w:ascii="仿宋" w:hAnsi="仿宋" w:eastAsia="仿宋"/>
          <w:b/>
          <w:bCs/>
          <w:kern w:val="0"/>
          <w:sz w:val="24"/>
          <w:szCs w:val="24"/>
        </w:rPr>
        <w:t>★</w:t>
      </w:r>
      <w:r>
        <w:rPr>
          <w:rFonts w:ascii="仿宋" w:hAnsi="仿宋" w:eastAsia="仿宋"/>
          <w:b/>
          <w:bCs/>
          <w:kern w:val="0"/>
          <w:sz w:val="24"/>
          <w:szCs w:val="24"/>
        </w:rPr>
        <w:t>仓库</w:t>
      </w:r>
      <w:r>
        <w:rPr>
          <w:rFonts w:hint="eastAsia" w:ascii="仿宋" w:hAnsi="仿宋" w:eastAsia="仿宋"/>
          <w:b/>
          <w:bCs/>
          <w:kern w:val="0"/>
          <w:sz w:val="24"/>
          <w:szCs w:val="24"/>
        </w:rPr>
        <w:t>具体</w:t>
      </w:r>
      <w:r>
        <w:rPr>
          <w:rFonts w:ascii="仿宋" w:hAnsi="仿宋" w:eastAsia="仿宋"/>
          <w:b/>
          <w:bCs/>
          <w:kern w:val="0"/>
          <w:sz w:val="24"/>
          <w:szCs w:val="24"/>
        </w:rPr>
        <w:t>要求</w:t>
      </w:r>
    </w:p>
    <w:tbl>
      <w:tblPr>
        <w:tblStyle w:val="17"/>
        <w:tblW w:w="8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772"/>
        <w:gridCol w:w="6520"/>
      </w:tblGrid>
      <w:tr w14:paraId="4CE6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703EB4B">
            <w:pPr>
              <w:spacing w:line="360" w:lineRule="auto"/>
              <w:jc w:val="center"/>
              <w:rPr>
                <w:rFonts w:hint="eastAsia" w:ascii="仿宋" w:hAnsi="仿宋" w:eastAsia="仿宋"/>
                <w:b/>
                <w:sz w:val="24"/>
                <w:szCs w:val="24"/>
              </w:rPr>
            </w:pPr>
            <w:r>
              <w:rPr>
                <w:rFonts w:hint="eastAsia" w:ascii="仿宋" w:hAnsi="仿宋" w:eastAsia="仿宋"/>
                <w:b/>
                <w:sz w:val="24"/>
                <w:szCs w:val="24"/>
              </w:rPr>
              <w:t>序号</w:t>
            </w:r>
          </w:p>
        </w:tc>
        <w:tc>
          <w:tcPr>
            <w:tcW w:w="1772" w:type="dxa"/>
            <w:tcBorders>
              <w:top w:val="single" w:color="auto" w:sz="4" w:space="0"/>
              <w:left w:val="single" w:color="auto" w:sz="4" w:space="0"/>
              <w:bottom w:val="single" w:color="auto" w:sz="4" w:space="0"/>
              <w:right w:val="single" w:color="auto" w:sz="4" w:space="0"/>
            </w:tcBorders>
            <w:vAlign w:val="center"/>
          </w:tcPr>
          <w:p w14:paraId="5C6676E8">
            <w:pPr>
              <w:spacing w:line="360" w:lineRule="auto"/>
              <w:jc w:val="center"/>
              <w:rPr>
                <w:rFonts w:hint="eastAsia" w:ascii="仿宋" w:hAnsi="仿宋" w:eastAsia="仿宋"/>
                <w:b/>
                <w:sz w:val="24"/>
                <w:szCs w:val="24"/>
              </w:rPr>
            </w:pPr>
            <w:r>
              <w:rPr>
                <w:rFonts w:hint="eastAsia" w:ascii="仿宋" w:hAnsi="仿宋" w:eastAsia="仿宋"/>
                <w:b/>
                <w:sz w:val="24"/>
                <w:szCs w:val="24"/>
              </w:rPr>
              <w:t>名称</w:t>
            </w:r>
          </w:p>
        </w:tc>
        <w:tc>
          <w:tcPr>
            <w:tcW w:w="6520" w:type="dxa"/>
            <w:tcBorders>
              <w:top w:val="single" w:color="auto" w:sz="4" w:space="0"/>
              <w:left w:val="single" w:color="auto" w:sz="4" w:space="0"/>
              <w:bottom w:val="single" w:color="auto" w:sz="4" w:space="0"/>
              <w:right w:val="single" w:color="auto" w:sz="4" w:space="0"/>
            </w:tcBorders>
            <w:vAlign w:val="center"/>
          </w:tcPr>
          <w:p w14:paraId="61EC9A3D">
            <w:pPr>
              <w:spacing w:line="360" w:lineRule="auto"/>
              <w:jc w:val="center"/>
              <w:rPr>
                <w:rFonts w:hint="eastAsia" w:ascii="仿宋" w:hAnsi="仿宋" w:eastAsia="仿宋"/>
                <w:b/>
                <w:sz w:val="24"/>
                <w:szCs w:val="24"/>
              </w:rPr>
            </w:pPr>
            <w:r>
              <w:rPr>
                <w:rFonts w:hint="eastAsia" w:ascii="仿宋" w:hAnsi="仿宋" w:eastAsia="仿宋"/>
                <w:b/>
                <w:sz w:val="24"/>
                <w:szCs w:val="24"/>
              </w:rPr>
              <w:t>要求</w:t>
            </w:r>
          </w:p>
        </w:tc>
      </w:tr>
      <w:tr w14:paraId="1D18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0D82C43">
            <w:pPr>
              <w:spacing w:line="360" w:lineRule="auto"/>
              <w:jc w:val="center"/>
              <w:rPr>
                <w:rFonts w:hint="eastAsia" w:ascii="仿宋" w:hAnsi="仿宋" w:eastAsia="仿宋"/>
                <w:sz w:val="24"/>
                <w:szCs w:val="24"/>
              </w:rPr>
            </w:pPr>
            <w:r>
              <w:rPr>
                <w:rFonts w:hint="eastAsia" w:ascii="仿宋" w:hAnsi="仿宋" w:eastAsia="仿宋"/>
                <w:sz w:val="24"/>
                <w:szCs w:val="24"/>
              </w:rPr>
              <w:t>1</w:t>
            </w:r>
          </w:p>
        </w:tc>
        <w:tc>
          <w:tcPr>
            <w:tcW w:w="1772" w:type="dxa"/>
            <w:tcBorders>
              <w:top w:val="single" w:color="auto" w:sz="4" w:space="0"/>
              <w:left w:val="single" w:color="auto" w:sz="4" w:space="0"/>
              <w:bottom w:val="single" w:color="auto" w:sz="4" w:space="0"/>
              <w:right w:val="single" w:color="auto" w:sz="4" w:space="0"/>
            </w:tcBorders>
            <w:vAlign w:val="center"/>
          </w:tcPr>
          <w:p w14:paraId="7026D1B7">
            <w:pPr>
              <w:spacing w:line="360" w:lineRule="auto"/>
              <w:rPr>
                <w:rFonts w:hint="eastAsia" w:ascii="仿宋" w:hAnsi="仿宋" w:eastAsia="仿宋"/>
                <w:sz w:val="24"/>
                <w:szCs w:val="24"/>
              </w:rPr>
            </w:pPr>
            <w:r>
              <w:rPr>
                <w:rFonts w:hint="eastAsia" w:ascii="仿宋" w:hAnsi="仿宋" w:eastAsia="仿宋"/>
                <w:sz w:val="24"/>
                <w:szCs w:val="24"/>
              </w:rPr>
              <w:t>仓库类型</w:t>
            </w:r>
          </w:p>
        </w:tc>
        <w:tc>
          <w:tcPr>
            <w:tcW w:w="6520" w:type="dxa"/>
            <w:tcBorders>
              <w:top w:val="single" w:color="auto" w:sz="4" w:space="0"/>
              <w:left w:val="single" w:color="auto" w:sz="4" w:space="0"/>
              <w:bottom w:val="single" w:color="auto" w:sz="4" w:space="0"/>
              <w:right w:val="single" w:color="auto" w:sz="4" w:space="0"/>
            </w:tcBorders>
            <w:vAlign w:val="center"/>
          </w:tcPr>
          <w:p w14:paraId="1C484F58">
            <w:pPr>
              <w:spacing w:line="360" w:lineRule="auto"/>
              <w:rPr>
                <w:rFonts w:hint="eastAsia" w:ascii="仿宋" w:hAnsi="仿宋" w:eastAsia="仿宋"/>
                <w:sz w:val="24"/>
                <w:szCs w:val="24"/>
              </w:rPr>
            </w:pPr>
            <w:r>
              <w:rPr>
                <w:rFonts w:hint="eastAsia" w:ascii="仿宋" w:hAnsi="仿宋" w:eastAsia="仿宋"/>
                <w:sz w:val="24"/>
                <w:szCs w:val="24"/>
              </w:rPr>
              <w:t>独立仓库</w:t>
            </w:r>
          </w:p>
        </w:tc>
      </w:tr>
      <w:tr w14:paraId="11A6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5777F53C">
            <w:pPr>
              <w:spacing w:line="360" w:lineRule="auto"/>
              <w:jc w:val="center"/>
              <w:rPr>
                <w:rFonts w:hint="eastAsia" w:ascii="仿宋" w:hAnsi="仿宋" w:eastAsia="仿宋"/>
                <w:sz w:val="24"/>
                <w:szCs w:val="24"/>
              </w:rPr>
            </w:pPr>
            <w:r>
              <w:rPr>
                <w:rFonts w:hint="eastAsia" w:ascii="仿宋" w:hAnsi="仿宋" w:eastAsia="仿宋"/>
                <w:sz w:val="24"/>
                <w:szCs w:val="24"/>
              </w:rPr>
              <w:t>2</w:t>
            </w:r>
          </w:p>
        </w:tc>
        <w:tc>
          <w:tcPr>
            <w:tcW w:w="1772" w:type="dxa"/>
            <w:tcBorders>
              <w:top w:val="single" w:color="auto" w:sz="4" w:space="0"/>
              <w:left w:val="single" w:color="auto" w:sz="4" w:space="0"/>
              <w:bottom w:val="single" w:color="auto" w:sz="4" w:space="0"/>
              <w:right w:val="single" w:color="auto" w:sz="4" w:space="0"/>
            </w:tcBorders>
            <w:vAlign w:val="center"/>
          </w:tcPr>
          <w:p w14:paraId="3007E1EE">
            <w:pPr>
              <w:spacing w:line="360" w:lineRule="auto"/>
              <w:rPr>
                <w:rFonts w:hint="eastAsia" w:ascii="仿宋" w:hAnsi="仿宋" w:eastAsia="仿宋"/>
                <w:sz w:val="24"/>
                <w:szCs w:val="24"/>
              </w:rPr>
            </w:pPr>
            <w:r>
              <w:rPr>
                <w:rFonts w:hint="eastAsia" w:ascii="仿宋" w:hAnsi="仿宋" w:eastAsia="仿宋"/>
                <w:sz w:val="24"/>
                <w:szCs w:val="24"/>
              </w:rPr>
              <w:t>存储地点</w:t>
            </w:r>
          </w:p>
        </w:tc>
        <w:tc>
          <w:tcPr>
            <w:tcW w:w="6520" w:type="dxa"/>
            <w:tcBorders>
              <w:top w:val="single" w:color="auto" w:sz="4" w:space="0"/>
              <w:left w:val="single" w:color="auto" w:sz="4" w:space="0"/>
              <w:bottom w:val="single" w:color="auto" w:sz="4" w:space="0"/>
              <w:right w:val="single" w:color="auto" w:sz="4" w:space="0"/>
            </w:tcBorders>
            <w:vAlign w:val="center"/>
          </w:tcPr>
          <w:p w14:paraId="397326DA">
            <w:pPr>
              <w:spacing w:line="360" w:lineRule="auto"/>
              <w:rPr>
                <w:rFonts w:hint="eastAsia" w:ascii="仿宋" w:hAnsi="仿宋" w:eastAsia="仿宋"/>
                <w:sz w:val="24"/>
                <w:szCs w:val="24"/>
              </w:rPr>
            </w:pPr>
            <w:r>
              <w:rPr>
                <w:rFonts w:hint="eastAsia" w:ascii="仿宋" w:hAnsi="仿宋" w:eastAsia="仿宋"/>
                <w:sz w:val="24"/>
                <w:szCs w:val="24"/>
              </w:rPr>
              <w:t>楼宇地面以上（需提供证明材料，注明楼层）</w:t>
            </w:r>
          </w:p>
        </w:tc>
      </w:tr>
      <w:tr w14:paraId="4B57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2E3A7EE">
            <w:pPr>
              <w:spacing w:line="360" w:lineRule="auto"/>
              <w:jc w:val="center"/>
              <w:rPr>
                <w:rFonts w:hint="eastAsia" w:ascii="仿宋" w:hAnsi="仿宋" w:eastAsia="仿宋"/>
                <w:sz w:val="24"/>
                <w:szCs w:val="24"/>
              </w:rPr>
            </w:pPr>
            <w:r>
              <w:rPr>
                <w:rFonts w:hint="eastAsia" w:ascii="仿宋" w:hAnsi="仿宋" w:eastAsia="仿宋"/>
                <w:sz w:val="24"/>
                <w:szCs w:val="24"/>
              </w:rPr>
              <w:t>3</w:t>
            </w:r>
          </w:p>
        </w:tc>
        <w:tc>
          <w:tcPr>
            <w:tcW w:w="1772" w:type="dxa"/>
            <w:tcBorders>
              <w:top w:val="single" w:color="auto" w:sz="4" w:space="0"/>
              <w:left w:val="single" w:color="auto" w:sz="4" w:space="0"/>
              <w:bottom w:val="single" w:color="auto" w:sz="4" w:space="0"/>
              <w:right w:val="single" w:color="auto" w:sz="4" w:space="0"/>
            </w:tcBorders>
            <w:vAlign w:val="center"/>
          </w:tcPr>
          <w:p w14:paraId="62AE1287">
            <w:pPr>
              <w:spacing w:line="360" w:lineRule="auto"/>
              <w:rPr>
                <w:rFonts w:hint="eastAsia" w:ascii="仿宋" w:hAnsi="仿宋" w:eastAsia="仿宋"/>
                <w:sz w:val="24"/>
                <w:szCs w:val="24"/>
              </w:rPr>
            </w:pPr>
            <w:r>
              <w:rPr>
                <w:rFonts w:hint="eastAsia" w:ascii="仿宋" w:hAnsi="仿宋" w:eastAsia="仿宋"/>
                <w:sz w:val="24"/>
                <w:szCs w:val="24"/>
              </w:rPr>
              <w:t>仓库建筑形式</w:t>
            </w:r>
          </w:p>
        </w:tc>
        <w:tc>
          <w:tcPr>
            <w:tcW w:w="6520" w:type="dxa"/>
            <w:tcBorders>
              <w:top w:val="single" w:color="auto" w:sz="4" w:space="0"/>
              <w:left w:val="single" w:color="auto" w:sz="4" w:space="0"/>
              <w:bottom w:val="single" w:color="auto" w:sz="4" w:space="0"/>
              <w:right w:val="single" w:color="auto" w:sz="4" w:space="0"/>
            </w:tcBorders>
            <w:vAlign w:val="center"/>
          </w:tcPr>
          <w:p w14:paraId="4B09A04E">
            <w:pPr>
              <w:spacing w:line="360" w:lineRule="auto"/>
              <w:rPr>
                <w:rFonts w:hint="eastAsia" w:ascii="仿宋" w:hAnsi="仿宋" w:eastAsia="仿宋"/>
                <w:sz w:val="24"/>
                <w:szCs w:val="24"/>
              </w:rPr>
            </w:pPr>
            <w:r>
              <w:rPr>
                <w:rFonts w:hint="eastAsia" w:ascii="仿宋" w:hAnsi="仿宋" w:eastAsia="仿宋"/>
                <w:sz w:val="24"/>
                <w:szCs w:val="24"/>
              </w:rPr>
              <w:t>钢筋混凝土结构/单层预制轻钢结构/砖混结构</w:t>
            </w:r>
          </w:p>
        </w:tc>
      </w:tr>
      <w:tr w14:paraId="2527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E87023D">
            <w:pPr>
              <w:spacing w:line="360" w:lineRule="auto"/>
              <w:jc w:val="center"/>
              <w:rPr>
                <w:rFonts w:hint="eastAsia" w:ascii="仿宋" w:hAnsi="仿宋" w:eastAsia="仿宋"/>
                <w:sz w:val="24"/>
                <w:szCs w:val="24"/>
              </w:rPr>
            </w:pPr>
            <w:r>
              <w:rPr>
                <w:rFonts w:hint="eastAsia" w:ascii="仿宋" w:hAnsi="仿宋" w:eastAsia="仿宋"/>
                <w:sz w:val="24"/>
                <w:szCs w:val="24"/>
              </w:rPr>
              <w:t>4</w:t>
            </w:r>
          </w:p>
        </w:tc>
        <w:tc>
          <w:tcPr>
            <w:tcW w:w="1772" w:type="dxa"/>
            <w:tcBorders>
              <w:top w:val="single" w:color="auto" w:sz="4" w:space="0"/>
              <w:left w:val="single" w:color="auto" w:sz="4" w:space="0"/>
              <w:bottom w:val="single" w:color="auto" w:sz="4" w:space="0"/>
              <w:right w:val="single" w:color="auto" w:sz="4" w:space="0"/>
            </w:tcBorders>
            <w:vAlign w:val="center"/>
          </w:tcPr>
          <w:p w14:paraId="1C6DD9DF">
            <w:pPr>
              <w:spacing w:line="360" w:lineRule="auto"/>
              <w:rPr>
                <w:rFonts w:hint="eastAsia" w:ascii="仿宋" w:hAnsi="仿宋" w:eastAsia="仿宋"/>
                <w:sz w:val="24"/>
                <w:szCs w:val="24"/>
              </w:rPr>
            </w:pPr>
            <w:r>
              <w:rPr>
                <w:rFonts w:hint="eastAsia" w:ascii="仿宋" w:hAnsi="仿宋" w:eastAsia="仿宋"/>
                <w:sz w:val="24"/>
                <w:szCs w:val="24"/>
              </w:rPr>
              <w:t>二层连接通道（如适用）</w:t>
            </w:r>
          </w:p>
        </w:tc>
        <w:tc>
          <w:tcPr>
            <w:tcW w:w="6520" w:type="dxa"/>
            <w:tcBorders>
              <w:top w:val="single" w:color="auto" w:sz="4" w:space="0"/>
              <w:left w:val="single" w:color="auto" w:sz="4" w:space="0"/>
              <w:bottom w:val="single" w:color="auto" w:sz="4" w:space="0"/>
              <w:right w:val="single" w:color="auto" w:sz="4" w:space="0"/>
            </w:tcBorders>
            <w:vAlign w:val="center"/>
          </w:tcPr>
          <w:p w14:paraId="3D4BEF4B">
            <w:pPr>
              <w:spacing w:line="360" w:lineRule="auto"/>
              <w:rPr>
                <w:rFonts w:hint="eastAsia" w:ascii="仿宋" w:hAnsi="仿宋" w:eastAsia="仿宋"/>
                <w:sz w:val="24"/>
                <w:szCs w:val="24"/>
              </w:rPr>
            </w:pPr>
            <w:r>
              <w:rPr>
                <w:rFonts w:ascii="仿宋" w:hAnsi="仿宋" w:eastAsia="仿宋"/>
                <w:sz w:val="24"/>
                <w:szCs w:val="24"/>
              </w:rPr>
              <w:t>载货电梯（≥1000KG）或液压升降平台（≥200KG）或电动输送轨道（电机≥1.2KW，可调速，输送面宽≥1米）。须提供设备规格证明。</w:t>
            </w:r>
          </w:p>
        </w:tc>
      </w:tr>
      <w:tr w14:paraId="4913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515D925">
            <w:pPr>
              <w:spacing w:line="360" w:lineRule="auto"/>
              <w:jc w:val="center"/>
              <w:rPr>
                <w:rFonts w:hint="eastAsia" w:ascii="仿宋" w:hAnsi="仿宋" w:eastAsia="仿宋"/>
                <w:sz w:val="24"/>
                <w:szCs w:val="24"/>
              </w:rPr>
            </w:pPr>
            <w:r>
              <w:rPr>
                <w:rFonts w:hint="eastAsia" w:ascii="仿宋" w:hAnsi="仿宋" w:eastAsia="仿宋"/>
                <w:sz w:val="24"/>
                <w:szCs w:val="24"/>
              </w:rPr>
              <w:t>5</w:t>
            </w:r>
          </w:p>
        </w:tc>
        <w:tc>
          <w:tcPr>
            <w:tcW w:w="1772" w:type="dxa"/>
            <w:tcBorders>
              <w:top w:val="single" w:color="auto" w:sz="4" w:space="0"/>
              <w:left w:val="single" w:color="auto" w:sz="4" w:space="0"/>
              <w:bottom w:val="single" w:color="auto" w:sz="4" w:space="0"/>
              <w:right w:val="single" w:color="auto" w:sz="4" w:space="0"/>
            </w:tcBorders>
            <w:vAlign w:val="center"/>
          </w:tcPr>
          <w:p w14:paraId="323819B0">
            <w:pPr>
              <w:spacing w:line="360" w:lineRule="auto"/>
              <w:rPr>
                <w:rFonts w:hint="eastAsia" w:ascii="仿宋" w:hAnsi="仿宋" w:eastAsia="仿宋"/>
                <w:sz w:val="24"/>
                <w:szCs w:val="24"/>
              </w:rPr>
            </w:pPr>
            <w:r>
              <w:rPr>
                <w:rFonts w:hint="eastAsia" w:ascii="仿宋" w:hAnsi="仿宋" w:eastAsia="仿宋"/>
                <w:sz w:val="24"/>
                <w:szCs w:val="24"/>
              </w:rPr>
              <w:t>储存物品类别</w:t>
            </w:r>
          </w:p>
        </w:tc>
        <w:tc>
          <w:tcPr>
            <w:tcW w:w="6520" w:type="dxa"/>
            <w:tcBorders>
              <w:top w:val="single" w:color="auto" w:sz="4" w:space="0"/>
              <w:left w:val="single" w:color="auto" w:sz="4" w:space="0"/>
              <w:bottom w:val="single" w:color="auto" w:sz="4" w:space="0"/>
              <w:right w:val="single" w:color="auto" w:sz="4" w:space="0"/>
            </w:tcBorders>
            <w:vAlign w:val="center"/>
          </w:tcPr>
          <w:p w14:paraId="2D3E4616">
            <w:pPr>
              <w:spacing w:line="360" w:lineRule="auto"/>
              <w:rPr>
                <w:rFonts w:hint="eastAsia" w:ascii="仿宋" w:hAnsi="仿宋" w:eastAsia="仿宋"/>
                <w:sz w:val="24"/>
                <w:szCs w:val="24"/>
              </w:rPr>
            </w:pPr>
            <w:r>
              <w:rPr>
                <w:rFonts w:hint="eastAsia" w:ascii="仿宋" w:hAnsi="仿宋" w:eastAsia="仿宋"/>
                <w:sz w:val="24"/>
                <w:szCs w:val="24"/>
              </w:rPr>
              <w:t>丙二类</w:t>
            </w:r>
          </w:p>
        </w:tc>
      </w:tr>
      <w:tr w14:paraId="45D0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D7A56CE">
            <w:pPr>
              <w:spacing w:line="360" w:lineRule="auto"/>
              <w:jc w:val="center"/>
              <w:rPr>
                <w:rFonts w:hint="eastAsia" w:ascii="仿宋" w:hAnsi="仿宋" w:eastAsia="仿宋"/>
                <w:sz w:val="24"/>
                <w:szCs w:val="24"/>
              </w:rPr>
            </w:pPr>
            <w:r>
              <w:rPr>
                <w:rFonts w:hint="eastAsia" w:ascii="仿宋" w:hAnsi="仿宋" w:eastAsia="仿宋"/>
                <w:sz w:val="24"/>
                <w:szCs w:val="24"/>
              </w:rPr>
              <w:t>6</w:t>
            </w:r>
          </w:p>
        </w:tc>
        <w:tc>
          <w:tcPr>
            <w:tcW w:w="1772" w:type="dxa"/>
            <w:tcBorders>
              <w:top w:val="single" w:color="auto" w:sz="4" w:space="0"/>
              <w:left w:val="single" w:color="auto" w:sz="4" w:space="0"/>
              <w:bottom w:val="single" w:color="auto" w:sz="4" w:space="0"/>
              <w:right w:val="single" w:color="auto" w:sz="4" w:space="0"/>
            </w:tcBorders>
            <w:vAlign w:val="center"/>
          </w:tcPr>
          <w:p w14:paraId="2960E5F8">
            <w:pPr>
              <w:spacing w:line="360" w:lineRule="auto"/>
              <w:rPr>
                <w:rFonts w:hint="eastAsia" w:ascii="仿宋" w:hAnsi="仿宋" w:eastAsia="仿宋"/>
                <w:sz w:val="24"/>
                <w:szCs w:val="24"/>
              </w:rPr>
            </w:pPr>
            <w:r>
              <w:rPr>
                <w:rFonts w:hint="eastAsia" w:ascii="仿宋" w:hAnsi="仿宋" w:eastAsia="仿宋"/>
                <w:sz w:val="24"/>
                <w:szCs w:val="24"/>
              </w:rPr>
              <w:t>净高</w:t>
            </w:r>
          </w:p>
        </w:tc>
        <w:tc>
          <w:tcPr>
            <w:tcW w:w="6520" w:type="dxa"/>
            <w:tcBorders>
              <w:top w:val="single" w:color="auto" w:sz="4" w:space="0"/>
              <w:left w:val="single" w:color="auto" w:sz="4" w:space="0"/>
              <w:bottom w:val="single" w:color="auto" w:sz="4" w:space="0"/>
              <w:right w:val="single" w:color="auto" w:sz="4" w:space="0"/>
            </w:tcBorders>
            <w:vAlign w:val="center"/>
          </w:tcPr>
          <w:p w14:paraId="0563195D">
            <w:pPr>
              <w:spacing w:line="360" w:lineRule="auto"/>
              <w:rPr>
                <w:rFonts w:hint="eastAsia" w:ascii="仿宋" w:hAnsi="仿宋" w:eastAsia="仿宋"/>
                <w:sz w:val="24"/>
                <w:szCs w:val="24"/>
              </w:rPr>
            </w:pPr>
            <w:r>
              <w:rPr>
                <w:rFonts w:hint="eastAsia" w:ascii="仿宋" w:hAnsi="仿宋" w:eastAsia="仿宋"/>
                <w:sz w:val="24"/>
                <w:szCs w:val="24"/>
              </w:rPr>
              <w:t>楼宇层高大于等于3.5米</w:t>
            </w:r>
          </w:p>
        </w:tc>
      </w:tr>
      <w:tr w14:paraId="4B85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2E657C2">
            <w:pPr>
              <w:spacing w:line="360" w:lineRule="auto"/>
              <w:jc w:val="center"/>
              <w:rPr>
                <w:rFonts w:hint="eastAsia" w:ascii="仿宋" w:hAnsi="仿宋" w:eastAsia="仿宋"/>
                <w:sz w:val="24"/>
                <w:szCs w:val="24"/>
              </w:rPr>
            </w:pPr>
            <w:r>
              <w:rPr>
                <w:rFonts w:hint="eastAsia" w:ascii="仿宋" w:hAnsi="仿宋" w:eastAsia="仿宋"/>
                <w:sz w:val="24"/>
                <w:szCs w:val="24"/>
              </w:rPr>
              <w:t>7</w:t>
            </w:r>
          </w:p>
        </w:tc>
        <w:tc>
          <w:tcPr>
            <w:tcW w:w="1772" w:type="dxa"/>
            <w:tcBorders>
              <w:top w:val="single" w:color="auto" w:sz="4" w:space="0"/>
              <w:left w:val="single" w:color="auto" w:sz="4" w:space="0"/>
              <w:bottom w:val="single" w:color="auto" w:sz="4" w:space="0"/>
              <w:right w:val="single" w:color="auto" w:sz="4" w:space="0"/>
            </w:tcBorders>
            <w:vAlign w:val="center"/>
          </w:tcPr>
          <w:p w14:paraId="09C1B1A7">
            <w:pPr>
              <w:spacing w:line="360" w:lineRule="auto"/>
              <w:rPr>
                <w:rFonts w:hint="eastAsia" w:ascii="仿宋" w:hAnsi="仿宋" w:eastAsia="仿宋"/>
                <w:sz w:val="24"/>
                <w:szCs w:val="24"/>
              </w:rPr>
            </w:pPr>
            <w:r>
              <w:rPr>
                <w:rFonts w:hint="eastAsia" w:ascii="仿宋" w:hAnsi="仿宋" w:eastAsia="仿宋"/>
                <w:sz w:val="24"/>
                <w:szCs w:val="24"/>
              </w:rPr>
              <w:t>通风</w:t>
            </w:r>
          </w:p>
        </w:tc>
        <w:tc>
          <w:tcPr>
            <w:tcW w:w="6520" w:type="dxa"/>
            <w:tcBorders>
              <w:top w:val="single" w:color="auto" w:sz="4" w:space="0"/>
              <w:left w:val="single" w:color="auto" w:sz="4" w:space="0"/>
              <w:bottom w:val="single" w:color="auto" w:sz="4" w:space="0"/>
              <w:right w:val="single" w:color="auto" w:sz="4" w:space="0"/>
            </w:tcBorders>
            <w:vAlign w:val="center"/>
          </w:tcPr>
          <w:p w14:paraId="66C91707">
            <w:pPr>
              <w:spacing w:line="360" w:lineRule="auto"/>
              <w:rPr>
                <w:rFonts w:hint="eastAsia" w:ascii="仿宋" w:hAnsi="仿宋" w:eastAsia="仿宋"/>
                <w:sz w:val="24"/>
                <w:szCs w:val="24"/>
              </w:rPr>
            </w:pPr>
            <w:r>
              <w:rPr>
                <w:rFonts w:hint="eastAsia" w:ascii="仿宋" w:hAnsi="仿宋" w:eastAsia="仿宋"/>
                <w:sz w:val="24"/>
                <w:szCs w:val="24"/>
              </w:rPr>
              <w:t>具备通气排风系统，换气次数≥2次/小时，室内温度≤28℃</w:t>
            </w:r>
          </w:p>
        </w:tc>
      </w:tr>
      <w:tr w14:paraId="5B8C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53DC2ABF">
            <w:pPr>
              <w:spacing w:line="360" w:lineRule="auto"/>
              <w:jc w:val="center"/>
              <w:rPr>
                <w:rFonts w:hint="eastAsia" w:ascii="仿宋" w:hAnsi="仿宋" w:eastAsia="仿宋"/>
                <w:sz w:val="24"/>
                <w:szCs w:val="24"/>
              </w:rPr>
            </w:pPr>
            <w:r>
              <w:rPr>
                <w:rFonts w:hint="eastAsia" w:ascii="仿宋" w:hAnsi="仿宋" w:eastAsia="仿宋"/>
                <w:sz w:val="24"/>
                <w:szCs w:val="24"/>
              </w:rPr>
              <w:t>8</w:t>
            </w:r>
          </w:p>
        </w:tc>
        <w:tc>
          <w:tcPr>
            <w:tcW w:w="1772" w:type="dxa"/>
            <w:tcBorders>
              <w:top w:val="single" w:color="auto" w:sz="4" w:space="0"/>
              <w:left w:val="single" w:color="auto" w:sz="4" w:space="0"/>
              <w:bottom w:val="single" w:color="auto" w:sz="4" w:space="0"/>
              <w:right w:val="single" w:color="auto" w:sz="4" w:space="0"/>
            </w:tcBorders>
            <w:vAlign w:val="center"/>
          </w:tcPr>
          <w:p w14:paraId="4060B24F">
            <w:pPr>
              <w:spacing w:line="360" w:lineRule="auto"/>
              <w:rPr>
                <w:rFonts w:hint="eastAsia" w:ascii="仿宋" w:hAnsi="仿宋" w:eastAsia="仿宋"/>
                <w:sz w:val="24"/>
                <w:szCs w:val="24"/>
              </w:rPr>
            </w:pPr>
            <w:r>
              <w:rPr>
                <w:rFonts w:hint="eastAsia" w:ascii="仿宋" w:hAnsi="仿宋" w:eastAsia="仿宋"/>
                <w:sz w:val="24"/>
                <w:szCs w:val="24"/>
              </w:rPr>
              <w:t>消防通道</w:t>
            </w:r>
          </w:p>
        </w:tc>
        <w:tc>
          <w:tcPr>
            <w:tcW w:w="6520" w:type="dxa"/>
            <w:tcBorders>
              <w:top w:val="single" w:color="auto" w:sz="4" w:space="0"/>
              <w:left w:val="single" w:color="auto" w:sz="4" w:space="0"/>
              <w:bottom w:val="single" w:color="auto" w:sz="4" w:space="0"/>
              <w:right w:val="single" w:color="auto" w:sz="4" w:space="0"/>
            </w:tcBorders>
            <w:vAlign w:val="center"/>
          </w:tcPr>
          <w:p w14:paraId="58A56121">
            <w:pPr>
              <w:spacing w:line="360" w:lineRule="auto"/>
              <w:rPr>
                <w:rFonts w:hint="eastAsia" w:ascii="仿宋" w:hAnsi="仿宋" w:eastAsia="仿宋"/>
                <w:sz w:val="24"/>
                <w:szCs w:val="24"/>
              </w:rPr>
            </w:pPr>
            <w:r>
              <w:rPr>
                <w:rFonts w:hint="eastAsia" w:ascii="仿宋" w:hAnsi="仿宋" w:eastAsia="仿宋"/>
                <w:sz w:val="24"/>
                <w:szCs w:val="24"/>
              </w:rPr>
              <w:t>约2米宽，回转半径约4米</w:t>
            </w:r>
          </w:p>
        </w:tc>
      </w:tr>
      <w:tr w14:paraId="53E1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AAAEB9B">
            <w:pPr>
              <w:spacing w:line="360" w:lineRule="auto"/>
              <w:jc w:val="center"/>
              <w:rPr>
                <w:rFonts w:hint="eastAsia" w:ascii="仿宋" w:hAnsi="仿宋" w:eastAsia="仿宋"/>
                <w:sz w:val="24"/>
                <w:szCs w:val="24"/>
              </w:rPr>
            </w:pPr>
            <w:r>
              <w:rPr>
                <w:rFonts w:hint="eastAsia" w:ascii="仿宋" w:hAnsi="仿宋" w:eastAsia="仿宋"/>
                <w:sz w:val="24"/>
                <w:szCs w:val="24"/>
              </w:rPr>
              <w:t>9</w:t>
            </w:r>
          </w:p>
        </w:tc>
        <w:tc>
          <w:tcPr>
            <w:tcW w:w="1772" w:type="dxa"/>
            <w:tcBorders>
              <w:top w:val="single" w:color="auto" w:sz="4" w:space="0"/>
              <w:left w:val="single" w:color="auto" w:sz="4" w:space="0"/>
              <w:bottom w:val="single" w:color="auto" w:sz="4" w:space="0"/>
              <w:right w:val="single" w:color="auto" w:sz="4" w:space="0"/>
            </w:tcBorders>
            <w:vAlign w:val="center"/>
          </w:tcPr>
          <w:p w14:paraId="7A1D6223">
            <w:pPr>
              <w:spacing w:line="360" w:lineRule="auto"/>
              <w:rPr>
                <w:rFonts w:hint="eastAsia" w:ascii="仿宋" w:hAnsi="仿宋" w:eastAsia="仿宋"/>
                <w:sz w:val="24"/>
                <w:szCs w:val="24"/>
              </w:rPr>
            </w:pPr>
            <w:r>
              <w:rPr>
                <w:rFonts w:hint="eastAsia" w:ascii="仿宋" w:hAnsi="仿宋" w:eastAsia="仿宋"/>
                <w:sz w:val="24"/>
                <w:szCs w:val="24"/>
              </w:rPr>
              <w:t>照明度</w:t>
            </w:r>
          </w:p>
        </w:tc>
        <w:tc>
          <w:tcPr>
            <w:tcW w:w="6520" w:type="dxa"/>
            <w:tcBorders>
              <w:top w:val="single" w:color="auto" w:sz="4" w:space="0"/>
              <w:left w:val="single" w:color="auto" w:sz="4" w:space="0"/>
              <w:bottom w:val="single" w:color="auto" w:sz="4" w:space="0"/>
              <w:right w:val="single" w:color="auto" w:sz="4" w:space="0"/>
            </w:tcBorders>
            <w:vAlign w:val="center"/>
          </w:tcPr>
          <w:p w14:paraId="544AC7D5">
            <w:pPr>
              <w:spacing w:line="360" w:lineRule="auto"/>
              <w:rPr>
                <w:rFonts w:hint="eastAsia" w:ascii="仿宋" w:hAnsi="仿宋" w:eastAsia="仿宋"/>
                <w:sz w:val="24"/>
                <w:szCs w:val="24"/>
              </w:rPr>
            </w:pPr>
            <w:r>
              <w:rPr>
                <w:rFonts w:hint="eastAsia" w:ascii="仿宋" w:hAnsi="仿宋" w:eastAsia="仿宋"/>
                <w:sz w:val="24"/>
                <w:szCs w:val="24"/>
              </w:rPr>
              <w:t>仓库外围 80lux  仓库内 100lux</w:t>
            </w:r>
          </w:p>
        </w:tc>
      </w:tr>
      <w:tr w14:paraId="043D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E5FED2E">
            <w:pPr>
              <w:spacing w:line="360" w:lineRule="auto"/>
              <w:jc w:val="center"/>
              <w:rPr>
                <w:rFonts w:hint="eastAsia" w:ascii="仿宋" w:hAnsi="仿宋" w:eastAsia="仿宋"/>
                <w:sz w:val="24"/>
                <w:szCs w:val="24"/>
              </w:rPr>
            </w:pPr>
            <w:r>
              <w:rPr>
                <w:rFonts w:hint="eastAsia" w:ascii="仿宋" w:hAnsi="仿宋" w:eastAsia="仿宋"/>
                <w:sz w:val="24"/>
                <w:szCs w:val="24"/>
              </w:rPr>
              <w:t>10</w:t>
            </w:r>
          </w:p>
        </w:tc>
        <w:tc>
          <w:tcPr>
            <w:tcW w:w="1772" w:type="dxa"/>
            <w:tcBorders>
              <w:top w:val="single" w:color="auto" w:sz="4" w:space="0"/>
              <w:left w:val="single" w:color="auto" w:sz="4" w:space="0"/>
              <w:bottom w:val="single" w:color="auto" w:sz="4" w:space="0"/>
              <w:right w:val="single" w:color="auto" w:sz="4" w:space="0"/>
            </w:tcBorders>
            <w:vAlign w:val="center"/>
          </w:tcPr>
          <w:p w14:paraId="411B0BDA">
            <w:pPr>
              <w:spacing w:line="360" w:lineRule="auto"/>
              <w:rPr>
                <w:rFonts w:hint="eastAsia" w:ascii="仿宋" w:hAnsi="仿宋" w:eastAsia="仿宋"/>
                <w:sz w:val="24"/>
                <w:szCs w:val="24"/>
              </w:rPr>
            </w:pPr>
            <w:r>
              <w:rPr>
                <w:rFonts w:hint="eastAsia" w:ascii="仿宋" w:hAnsi="仿宋" w:eastAsia="仿宋"/>
                <w:sz w:val="24"/>
                <w:szCs w:val="24"/>
              </w:rPr>
              <w:t>仓库大门</w:t>
            </w:r>
          </w:p>
        </w:tc>
        <w:tc>
          <w:tcPr>
            <w:tcW w:w="6520" w:type="dxa"/>
            <w:tcBorders>
              <w:top w:val="single" w:color="auto" w:sz="4" w:space="0"/>
              <w:left w:val="single" w:color="auto" w:sz="4" w:space="0"/>
              <w:bottom w:val="single" w:color="auto" w:sz="4" w:space="0"/>
              <w:right w:val="single" w:color="auto" w:sz="4" w:space="0"/>
            </w:tcBorders>
            <w:vAlign w:val="center"/>
          </w:tcPr>
          <w:p w14:paraId="45A273B3">
            <w:pPr>
              <w:spacing w:line="360" w:lineRule="auto"/>
              <w:rPr>
                <w:rFonts w:hint="eastAsia" w:ascii="仿宋" w:hAnsi="仿宋" w:eastAsia="仿宋"/>
                <w:sz w:val="24"/>
                <w:szCs w:val="24"/>
              </w:rPr>
            </w:pPr>
            <w:r>
              <w:rPr>
                <w:rFonts w:hint="eastAsia" w:ascii="仿宋" w:hAnsi="仿宋" w:eastAsia="仿宋"/>
                <w:sz w:val="24"/>
                <w:szCs w:val="24"/>
              </w:rPr>
              <w:t>电动卷帘门，净空尺寸≥3.5米（高）×3.5米（宽）</w:t>
            </w:r>
          </w:p>
        </w:tc>
      </w:tr>
      <w:tr w14:paraId="0DCF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45A9B0C7">
            <w:pPr>
              <w:spacing w:line="360" w:lineRule="auto"/>
              <w:jc w:val="center"/>
              <w:rPr>
                <w:rFonts w:hint="eastAsia" w:ascii="仿宋" w:hAnsi="仿宋" w:eastAsia="仿宋"/>
                <w:sz w:val="24"/>
                <w:szCs w:val="24"/>
              </w:rPr>
            </w:pPr>
            <w:r>
              <w:rPr>
                <w:rFonts w:hint="eastAsia" w:ascii="仿宋" w:hAnsi="仿宋" w:eastAsia="仿宋"/>
                <w:sz w:val="24"/>
                <w:szCs w:val="24"/>
              </w:rPr>
              <w:t>11</w:t>
            </w:r>
          </w:p>
        </w:tc>
        <w:tc>
          <w:tcPr>
            <w:tcW w:w="1772" w:type="dxa"/>
            <w:tcBorders>
              <w:top w:val="single" w:color="auto" w:sz="4" w:space="0"/>
              <w:left w:val="single" w:color="auto" w:sz="4" w:space="0"/>
              <w:bottom w:val="single" w:color="auto" w:sz="4" w:space="0"/>
              <w:right w:val="single" w:color="auto" w:sz="4" w:space="0"/>
            </w:tcBorders>
            <w:vAlign w:val="center"/>
          </w:tcPr>
          <w:p w14:paraId="19EF8B93">
            <w:pPr>
              <w:spacing w:line="360" w:lineRule="auto"/>
              <w:rPr>
                <w:rFonts w:hint="eastAsia" w:ascii="仿宋" w:hAnsi="仿宋" w:eastAsia="仿宋"/>
                <w:sz w:val="24"/>
                <w:szCs w:val="24"/>
              </w:rPr>
            </w:pPr>
            <w:r>
              <w:rPr>
                <w:rFonts w:hint="eastAsia" w:ascii="仿宋" w:hAnsi="仿宋" w:eastAsia="仿宋"/>
                <w:sz w:val="24"/>
                <w:szCs w:val="24"/>
              </w:rPr>
              <w:t>用电容量</w:t>
            </w:r>
          </w:p>
        </w:tc>
        <w:tc>
          <w:tcPr>
            <w:tcW w:w="6520" w:type="dxa"/>
            <w:tcBorders>
              <w:top w:val="single" w:color="auto" w:sz="4" w:space="0"/>
              <w:left w:val="single" w:color="auto" w:sz="4" w:space="0"/>
              <w:bottom w:val="single" w:color="auto" w:sz="4" w:space="0"/>
              <w:right w:val="single" w:color="auto" w:sz="4" w:space="0"/>
            </w:tcBorders>
            <w:vAlign w:val="center"/>
          </w:tcPr>
          <w:p w14:paraId="15CA529B">
            <w:pPr>
              <w:spacing w:line="360" w:lineRule="auto"/>
              <w:rPr>
                <w:rFonts w:hint="eastAsia" w:ascii="仿宋" w:hAnsi="仿宋" w:eastAsia="仿宋"/>
                <w:sz w:val="24"/>
                <w:szCs w:val="24"/>
              </w:rPr>
            </w:pPr>
            <w:r>
              <w:rPr>
                <w:rFonts w:hint="eastAsia" w:ascii="仿宋" w:hAnsi="仿宋" w:eastAsia="仿宋"/>
                <w:sz w:val="24"/>
                <w:szCs w:val="24"/>
              </w:rPr>
              <w:t>≥50KVA</w:t>
            </w:r>
          </w:p>
        </w:tc>
      </w:tr>
      <w:tr w14:paraId="57DA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8FA9B73">
            <w:pPr>
              <w:spacing w:line="360" w:lineRule="auto"/>
              <w:jc w:val="center"/>
              <w:rPr>
                <w:rFonts w:hint="eastAsia" w:ascii="仿宋" w:hAnsi="仿宋" w:eastAsia="仿宋"/>
                <w:sz w:val="24"/>
                <w:szCs w:val="24"/>
              </w:rPr>
            </w:pPr>
            <w:r>
              <w:rPr>
                <w:rFonts w:hint="eastAsia" w:ascii="仿宋" w:hAnsi="仿宋" w:eastAsia="仿宋"/>
                <w:sz w:val="24"/>
                <w:szCs w:val="24"/>
              </w:rPr>
              <w:t>12</w:t>
            </w:r>
          </w:p>
        </w:tc>
        <w:tc>
          <w:tcPr>
            <w:tcW w:w="1772" w:type="dxa"/>
            <w:tcBorders>
              <w:top w:val="single" w:color="auto" w:sz="4" w:space="0"/>
              <w:left w:val="single" w:color="auto" w:sz="4" w:space="0"/>
              <w:bottom w:val="single" w:color="auto" w:sz="4" w:space="0"/>
              <w:right w:val="single" w:color="auto" w:sz="4" w:space="0"/>
            </w:tcBorders>
            <w:vAlign w:val="center"/>
          </w:tcPr>
          <w:p w14:paraId="412A87E8">
            <w:pPr>
              <w:spacing w:line="360" w:lineRule="auto"/>
              <w:rPr>
                <w:rFonts w:hint="eastAsia" w:ascii="仿宋" w:hAnsi="仿宋" w:eastAsia="仿宋"/>
                <w:sz w:val="24"/>
                <w:szCs w:val="24"/>
              </w:rPr>
            </w:pPr>
            <w:r>
              <w:rPr>
                <w:rFonts w:hint="eastAsia" w:ascii="仿宋" w:hAnsi="仿宋" w:eastAsia="仿宋"/>
                <w:sz w:val="24"/>
                <w:szCs w:val="24"/>
              </w:rPr>
              <w:t>地面载荷要求</w:t>
            </w:r>
          </w:p>
        </w:tc>
        <w:tc>
          <w:tcPr>
            <w:tcW w:w="6520" w:type="dxa"/>
            <w:tcBorders>
              <w:top w:val="single" w:color="auto" w:sz="4" w:space="0"/>
              <w:left w:val="single" w:color="auto" w:sz="4" w:space="0"/>
              <w:bottom w:val="single" w:color="auto" w:sz="4" w:space="0"/>
              <w:right w:val="single" w:color="auto" w:sz="4" w:space="0"/>
            </w:tcBorders>
            <w:vAlign w:val="center"/>
          </w:tcPr>
          <w:p w14:paraId="17ACB64F">
            <w:pPr>
              <w:spacing w:line="360" w:lineRule="auto"/>
              <w:rPr>
                <w:rFonts w:hint="eastAsia" w:ascii="仿宋" w:hAnsi="仿宋" w:eastAsia="仿宋"/>
                <w:sz w:val="24"/>
                <w:szCs w:val="24"/>
              </w:rPr>
            </w:pPr>
            <w:r>
              <w:rPr>
                <w:rFonts w:hint="eastAsia" w:ascii="仿宋" w:hAnsi="仿宋" w:eastAsia="仿宋"/>
                <w:sz w:val="24"/>
                <w:szCs w:val="24"/>
              </w:rPr>
              <w:t>存储区域的地面载荷≥2.5T/平方米</w:t>
            </w:r>
          </w:p>
        </w:tc>
      </w:tr>
      <w:tr w14:paraId="2CC7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ECB05F8">
            <w:pPr>
              <w:spacing w:line="360" w:lineRule="auto"/>
              <w:jc w:val="center"/>
              <w:rPr>
                <w:rFonts w:hint="eastAsia" w:ascii="仿宋" w:hAnsi="仿宋" w:eastAsia="仿宋"/>
                <w:sz w:val="24"/>
                <w:szCs w:val="24"/>
              </w:rPr>
            </w:pPr>
            <w:r>
              <w:rPr>
                <w:rFonts w:hint="eastAsia" w:ascii="仿宋" w:hAnsi="仿宋" w:eastAsia="仿宋"/>
                <w:sz w:val="24"/>
                <w:szCs w:val="24"/>
              </w:rPr>
              <w:t>13</w:t>
            </w:r>
          </w:p>
        </w:tc>
        <w:tc>
          <w:tcPr>
            <w:tcW w:w="1772" w:type="dxa"/>
            <w:tcBorders>
              <w:top w:val="single" w:color="auto" w:sz="4" w:space="0"/>
              <w:left w:val="single" w:color="auto" w:sz="4" w:space="0"/>
              <w:bottom w:val="single" w:color="auto" w:sz="4" w:space="0"/>
              <w:right w:val="single" w:color="auto" w:sz="4" w:space="0"/>
            </w:tcBorders>
            <w:vAlign w:val="center"/>
          </w:tcPr>
          <w:p w14:paraId="4DB0E4E4">
            <w:pPr>
              <w:spacing w:line="360" w:lineRule="auto"/>
              <w:rPr>
                <w:rFonts w:hint="eastAsia" w:ascii="仿宋" w:hAnsi="仿宋" w:eastAsia="仿宋"/>
                <w:sz w:val="24"/>
                <w:szCs w:val="24"/>
              </w:rPr>
            </w:pPr>
            <w:r>
              <w:rPr>
                <w:rFonts w:hint="eastAsia" w:ascii="仿宋" w:hAnsi="仿宋" w:eastAsia="仿宋"/>
                <w:sz w:val="24"/>
                <w:szCs w:val="24"/>
              </w:rPr>
              <w:t>消防系统</w:t>
            </w:r>
          </w:p>
        </w:tc>
        <w:tc>
          <w:tcPr>
            <w:tcW w:w="6520" w:type="dxa"/>
            <w:tcBorders>
              <w:top w:val="single" w:color="auto" w:sz="4" w:space="0"/>
              <w:left w:val="single" w:color="auto" w:sz="4" w:space="0"/>
              <w:bottom w:val="single" w:color="auto" w:sz="4" w:space="0"/>
              <w:right w:val="single" w:color="auto" w:sz="4" w:space="0"/>
            </w:tcBorders>
            <w:vAlign w:val="center"/>
          </w:tcPr>
          <w:p w14:paraId="1649EAF4">
            <w:pPr>
              <w:spacing w:line="360" w:lineRule="auto"/>
              <w:rPr>
                <w:rFonts w:hint="eastAsia" w:ascii="仿宋" w:hAnsi="仿宋" w:eastAsia="仿宋"/>
                <w:sz w:val="24"/>
                <w:szCs w:val="24"/>
              </w:rPr>
            </w:pPr>
            <w:r>
              <w:rPr>
                <w:rFonts w:hint="eastAsia" w:ascii="仿宋" w:hAnsi="仿宋" w:eastAsia="仿宋"/>
                <w:sz w:val="24"/>
                <w:szCs w:val="24"/>
              </w:rPr>
              <w:t>包括但不限于室内消防栓系统、自动喷淋系统，烟感系统及火灾自动报警系统、干粉灭火器、灭火毯、灭火沙堆</w:t>
            </w:r>
          </w:p>
        </w:tc>
      </w:tr>
      <w:tr w14:paraId="6B88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477D774">
            <w:pPr>
              <w:spacing w:line="360" w:lineRule="auto"/>
              <w:jc w:val="center"/>
              <w:rPr>
                <w:rFonts w:hint="eastAsia" w:ascii="仿宋" w:hAnsi="仿宋" w:eastAsia="仿宋"/>
                <w:sz w:val="24"/>
                <w:szCs w:val="24"/>
              </w:rPr>
            </w:pPr>
            <w:r>
              <w:rPr>
                <w:rFonts w:hint="eastAsia" w:ascii="仿宋" w:hAnsi="仿宋" w:eastAsia="仿宋"/>
                <w:sz w:val="24"/>
                <w:szCs w:val="24"/>
              </w:rPr>
              <w:t>14</w:t>
            </w:r>
          </w:p>
        </w:tc>
        <w:tc>
          <w:tcPr>
            <w:tcW w:w="1772" w:type="dxa"/>
            <w:tcBorders>
              <w:top w:val="single" w:color="auto" w:sz="4" w:space="0"/>
              <w:left w:val="single" w:color="auto" w:sz="4" w:space="0"/>
              <w:bottom w:val="single" w:color="auto" w:sz="4" w:space="0"/>
              <w:right w:val="single" w:color="auto" w:sz="4" w:space="0"/>
            </w:tcBorders>
            <w:vAlign w:val="center"/>
          </w:tcPr>
          <w:p w14:paraId="3491806A">
            <w:pPr>
              <w:spacing w:line="360" w:lineRule="auto"/>
              <w:rPr>
                <w:rFonts w:hint="eastAsia" w:ascii="仿宋" w:hAnsi="仿宋" w:eastAsia="仿宋"/>
                <w:sz w:val="24"/>
                <w:szCs w:val="24"/>
              </w:rPr>
            </w:pPr>
            <w:r>
              <w:rPr>
                <w:rFonts w:hint="eastAsia" w:ascii="仿宋" w:hAnsi="仿宋" w:eastAsia="仿宋"/>
                <w:sz w:val="24"/>
                <w:szCs w:val="24"/>
              </w:rPr>
              <w:t>安防系统</w:t>
            </w:r>
          </w:p>
        </w:tc>
        <w:tc>
          <w:tcPr>
            <w:tcW w:w="6520" w:type="dxa"/>
            <w:tcBorders>
              <w:top w:val="single" w:color="auto" w:sz="4" w:space="0"/>
              <w:left w:val="single" w:color="auto" w:sz="4" w:space="0"/>
              <w:bottom w:val="single" w:color="auto" w:sz="4" w:space="0"/>
              <w:right w:val="single" w:color="auto" w:sz="4" w:space="0"/>
            </w:tcBorders>
            <w:vAlign w:val="center"/>
          </w:tcPr>
          <w:p w14:paraId="4CF84556">
            <w:pPr>
              <w:spacing w:line="360" w:lineRule="auto"/>
              <w:rPr>
                <w:rFonts w:hint="eastAsia" w:ascii="仿宋" w:hAnsi="仿宋" w:eastAsia="仿宋"/>
                <w:sz w:val="24"/>
                <w:szCs w:val="24"/>
              </w:rPr>
            </w:pPr>
            <w:r>
              <w:rPr>
                <w:rFonts w:hint="eastAsia" w:ascii="仿宋" w:hAnsi="仿宋" w:eastAsia="仿宋"/>
                <w:sz w:val="24"/>
                <w:szCs w:val="24"/>
              </w:rPr>
              <w:t>采用高清网络摄像机，具备红外夜视功能，要求仓库内无监控死角；采用24小时实时录像存储方式，存储时间≥60天；门窗等出入口需安装红外对射、门磁等报警系统。后备电源保证可持续供电≥6小时。</w:t>
            </w:r>
          </w:p>
        </w:tc>
      </w:tr>
      <w:tr w14:paraId="6733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DB246A1">
            <w:pPr>
              <w:spacing w:line="360" w:lineRule="auto"/>
              <w:jc w:val="center"/>
              <w:rPr>
                <w:rFonts w:hint="eastAsia" w:ascii="仿宋" w:hAnsi="仿宋" w:eastAsia="仿宋"/>
                <w:sz w:val="24"/>
                <w:szCs w:val="24"/>
              </w:rPr>
            </w:pPr>
            <w:r>
              <w:rPr>
                <w:rFonts w:hint="eastAsia" w:ascii="仿宋" w:hAnsi="仿宋" w:eastAsia="仿宋"/>
                <w:sz w:val="24"/>
                <w:szCs w:val="24"/>
              </w:rPr>
              <w:t>15</w:t>
            </w:r>
          </w:p>
        </w:tc>
        <w:tc>
          <w:tcPr>
            <w:tcW w:w="1772" w:type="dxa"/>
            <w:tcBorders>
              <w:top w:val="single" w:color="auto" w:sz="4" w:space="0"/>
              <w:left w:val="single" w:color="auto" w:sz="4" w:space="0"/>
              <w:bottom w:val="single" w:color="auto" w:sz="4" w:space="0"/>
              <w:right w:val="single" w:color="auto" w:sz="4" w:space="0"/>
            </w:tcBorders>
            <w:vAlign w:val="center"/>
          </w:tcPr>
          <w:p w14:paraId="3B4C89BF">
            <w:pPr>
              <w:spacing w:line="360" w:lineRule="auto"/>
              <w:rPr>
                <w:rFonts w:hint="eastAsia" w:ascii="仿宋" w:hAnsi="仿宋" w:eastAsia="仿宋"/>
                <w:sz w:val="24"/>
                <w:szCs w:val="24"/>
              </w:rPr>
            </w:pPr>
            <w:r>
              <w:rPr>
                <w:rFonts w:hint="eastAsia" w:ascii="仿宋" w:hAnsi="仿宋" w:eastAsia="仿宋"/>
                <w:sz w:val="24"/>
                <w:szCs w:val="24"/>
              </w:rPr>
              <w:t>办公配置</w:t>
            </w:r>
          </w:p>
        </w:tc>
        <w:tc>
          <w:tcPr>
            <w:tcW w:w="6520" w:type="dxa"/>
            <w:tcBorders>
              <w:top w:val="single" w:color="auto" w:sz="4" w:space="0"/>
              <w:left w:val="single" w:color="auto" w:sz="4" w:space="0"/>
              <w:bottom w:val="single" w:color="auto" w:sz="4" w:space="0"/>
              <w:right w:val="single" w:color="auto" w:sz="4" w:space="0"/>
            </w:tcBorders>
            <w:vAlign w:val="center"/>
          </w:tcPr>
          <w:p w14:paraId="024D3696">
            <w:pPr>
              <w:spacing w:line="360" w:lineRule="auto"/>
              <w:rPr>
                <w:rFonts w:hint="eastAsia" w:ascii="仿宋" w:hAnsi="仿宋" w:eastAsia="仿宋"/>
                <w:sz w:val="24"/>
                <w:szCs w:val="24"/>
              </w:rPr>
            </w:pPr>
            <w:r>
              <w:rPr>
                <w:rFonts w:hint="eastAsia" w:ascii="仿宋" w:hAnsi="仿宋" w:eastAsia="仿宋"/>
                <w:sz w:val="24"/>
                <w:szCs w:val="24"/>
              </w:rPr>
              <w:t>24小时值班，配备至少1名保安人员</w:t>
            </w:r>
          </w:p>
        </w:tc>
      </w:tr>
    </w:tbl>
    <w:p w14:paraId="4AA30991">
      <w:pPr>
        <w:tabs>
          <w:tab w:val="left" w:pos="420"/>
          <w:tab w:val="left" w:pos="540"/>
        </w:tabs>
        <w:adjustRightInd w:val="0"/>
        <w:snapToGrid w:val="0"/>
        <w:spacing w:line="360" w:lineRule="auto"/>
        <w:ind w:left="181"/>
        <w:outlineLvl w:val="1"/>
        <w:rPr>
          <w:rFonts w:hint="eastAsia" w:ascii="仿宋" w:hAnsi="仿宋" w:eastAsia="仿宋"/>
          <w:b/>
          <w:bCs/>
          <w:kern w:val="0"/>
          <w:sz w:val="24"/>
          <w:szCs w:val="24"/>
        </w:rPr>
      </w:pPr>
      <w:bookmarkStart w:id="1" w:name="_Toc422784818"/>
      <w:r>
        <w:rPr>
          <w:rFonts w:ascii="仿宋" w:hAnsi="仿宋" w:eastAsia="仿宋"/>
          <w:b/>
          <w:bCs/>
          <w:kern w:val="0"/>
          <w:sz w:val="24"/>
          <w:szCs w:val="24"/>
        </w:rPr>
        <w:t>（</w:t>
      </w:r>
      <w:r>
        <w:rPr>
          <w:rFonts w:hint="eastAsia" w:ascii="仿宋" w:hAnsi="仿宋" w:eastAsia="仿宋"/>
          <w:b/>
          <w:bCs/>
          <w:kern w:val="0"/>
          <w:sz w:val="24"/>
          <w:szCs w:val="24"/>
        </w:rPr>
        <w:t>三</w:t>
      </w:r>
      <w:r>
        <w:rPr>
          <w:rFonts w:ascii="仿宋" w:hAnsi="仿宋" w:eastAsia="仿宋"/>
          <w:b/>
          <w:bCs/>
          <w:kern w:val="0"/>
          <w:sz w:val="24"/>
          <w:szCs w:val="24"/>
        </w:rPr>
        <w:t>）仓库</w:t>
      </w:r>
      <w:r>
        <w:rPr>
          <w:rFonts w:hint="eastAsia" w:ascii="仿宋" w:hAnsi="仿宋" w:eastAsia="仿宋"/>
          <w:b/>
          <w:bCs/>
          <w:kern w:val="0"/>
          <w:sz w:val="24"/>
          <w:szCs w:val="24"/>
        </w:rPr>
        <w:t>安全</w:t>
      </w:r>
      <w:r>
        <w:rPr>
          <w:rFonts w:ascii="仿宋" w:hAnsi="仿宋" w:eastAsia="仿宋"/>
          <w:b/>
          <w:bCs/>
          <w:kern w:val="0"/>
          <w:sz w:val="24"/>
          <w:szCs w:val="24"/>
        </w:rPr>
        <w:t>要求</w:t>
      </w:r>
    </w:p>
    <w:p w14:paraId="6BB2E50D">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库房应具有人防、物防、技防三位一体的档案安全防范体系，同时保持库房恒温恒湿。具体包括：</w:t>
      </w:r>
    </w:p>
    <w:p w14:paraId="490A1AB5">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防盗：配备视频安防监控系统及相应的管理制度。</w:t>
      </w:r>
    </w:p>
    <w:p w14:paraId="23AF7CAE">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防火：档案库房内严禁设置明火设施。严禁存放易燃易爆物品，严禁吸烟。档案库房应配备火灾报警和消防灭火系统，通过消防部门的验收。</w:t>
      </w:r>
    </w:p>
    <w:p w14:paraId="1E4EDA68">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防雷：符合《建筑物防雷设计规范》GB 50057的最新规定。</w:t>
      </w:r>
    </w:p>
    <w:p w14:paraId="521D8E4A">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防震：所在建筑的抗震设计应符合《建筑抗震设计规范》GB 50011的最新规定。</w:t>
      </w:r>
    </w:p>
    <w:p w14:paraId="52E883CC">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防水：库房内不应设置消防以外的给水点，给排水管道不应穿越库区，上下水立管不应安装在与库房相邻的内墙上。</w:t>
      </w:r>
    </w:p>
    <w:p w14:paraId="3D151DEC">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潮、防高温：库房应有独立的温湿度环境。库房温度控制在14～28℃，每昼夜波动幅度不大于±2℃；相对湿度控制在45%～60%之间，每昼夜波动幅度不大于±5%。库房内应配备温湿度仪，应配备空调、除湿机等调温调湿设备。当温湿度超过标准时必须采取措施使之符合要求。</w:t>
      </w:r>
    </w:p>
    <w:p w14:paraId="6E29C764">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防虫、防霉：档案入库前要作消毒处理。库房内放置防虫防霉产品，并定期更换。库房内禁止种养花草和放置食物。</w:t>
      </w:r>
    </w:p>
    <w:p w14:paraId="53D32D4E">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防鼠：库房门要安装防鼠板，窗户安装纱窗。管道通过库房墙面或楼、地面处均应用不燃或难燃材料填塞密实，其他墙身孔洞也应采取防护措施。</w:t>
      </w:r>
    </w:p>
    <w:p w14:paraId="677DEB6A">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防光：库房外窗应安装防光和防紫外线窗帘，避免阳光直射档案。</w:t>
      </w:r>
      <w:r>
        <w:rPr>
          <w:rFonts w:ascii="仿宋" w:hAnsi="仿宋" w:eastAsia="仿宋"/>
          <w:sz w:val="24"/>
          <w:szCs w:val="24"/>
        </w:rPr>
        <w:t>应选用无紫外或红外辐射的LED光源等照明设备。如果使用含紫外线的光源，需加装紫外线过滤装置，并确保紫外线强度不超过75μW/流明</w:t>
      </w:r>
      <w:r>
        <w:rPr>
          <w:rFonts w:hint="eastAsia" w:ascii="仿宋" w:hAnsi="仿宋" w:eastAsia="仿宋"/>
          <w:sz w:val="24"/>
          <w:szCs w:val="24"/>
        </w:rPr>
        <w:t>。库房宜选用乳白色防爆灯罩的白炽灯用作人工照明光源，照度不超过100勒克斯。</w:t>
      </w:r>
    </w:p>
    <w:p w14:paraId="64BD38CB">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防尘：库房及箱柜应保持整洁、无灰尘，箱柜、地面要用吸尘器、拧干的抹布、拖把清洁。库房内严禁存放杂物。</w:t>
      </w:r>
    </w:p>
    <w:p w14:paraId="4A38A42E">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防污染：库房应防止有害气体和颗粒物对档案的危害。库房不得临近餐厅，远离储存或中转潲水、垃圾等污染物的用房和站场。</w:t>
      </w:r>
    </w:p>
    <w:p w14:paraId="79FF49C8">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防腐蚀：应定期对金属档案柜、档案架表面涂层情况进行检查，防止因涂层脱落造成柜体以及对档案产生腐蚀。</w:t>
      </w:r>
    </w:p>
    <w:p w14:paraId="51BE6C06">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防辐射：对库房环境进行防辐射监测和治理，避免造成强辐射影响。</w:t>
      </w:r>
    </w:p>
    <w:p w14:paraId="11431174">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防汛：汛期应做好库房防汛截堵，楼顶防渗防漏，确保库房周围排水系统通畅。必要时应提前或及时做好档案安全转移工作。</w:t>
      </w:r>
    </w:p>
    <w:p w14:paraId="55013880">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台风：应在防汛基础上，做好对库房门窗及外墙有关线路和设备等的加固改造。台风来临前应采取有效措施全面封堵门窗缝隙，防止雨水倒灌或进入库房。档案资料须入库上架，不得放置在地面或临近窗户，并采取措施确保不会散落。</w:t>
      </w:r>
    </w:p>
    <w:p w14:paraId="2AE16A88">
      <w:pPr>
        <w:numPr>
          <w:ilvl w:val="0"/>
          <w:numId w:val="4"/>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防失泄密：切实做好档案信息的安全保密防范工作，托管的档案信息须保密不得泄漏。</w:t>
      </w:r>
    </w:p>
    <w:bookmarkEnd w:id="1"/>
    <w:p w14:paraId="24C0A9B1">
      <w:pPr>
        <w:pStyle w:val="34"/>
        <w:tabs>
          <w:tab w:val="left" w:pos="420"/>
          <w:tab w:val="left" w:pos="540"/>
        </w:tabs>
        <w:adjustRightInd w:val="0"/>
        <w:snapToGrid w:val="0"/>
        <w:spacing w:line="360" w:lineRule="auto"/>
        <w:ind w:left="601"/>
        <w:outlineLvl w:val="1"/>
        <w:rPr>
          <w:rFonts w:hint="eastAsia" w:ascii="仿宋" w:hAnsi="仿宋" w:eastAsia="仿宋"/>
          <w:b/>
          <w:bCs/>
          <w:kern w:val="0"/>
          <w:sz w:val="24"/>
          <w:szCs w:val="24"/>
        </w:rPr>
      </w:pPr>
      <w:r>
        <w:rPr>
          <w:rFonts w:ascii="仿宋" w:hAnsi="仿宋" w:eastAsia="仿宋"/>
          <w:b/>
          <w:bCs/>
          <w:kern w:val="0"/>
          <w:sz w:val="24"/>
          <w:szCs w:val="24"/>
        </w:rPr>
        <w:t>（</w:t>
      </w:r>
      <w:r>
        <w:rPr>
          <w:rFonts w:hint="eastAsia" w:ascii="仿宋" w:hAnsi="仿宋" w:eastAsia="仿宋"/>
          <w:b/>
          <w:bCs/>
          <w:kern w:val="0"/>
          <w:sz w:val="24"/>
          <w:szCs w:val="24"/>
        </w:rPr>
        <w:t>四</w:t>
      </w:r>
      <w:r>
        <w:rPr>
          <w:rFonts w:ascii="仿宋" w:hAnsi="仿宋" w:eastAsia="仿宋"/>
          <w:b/>
          <w:bCs/>
          <w:kern w:val="0"/>
          <w:sz w:val="24"/>
          <w:szCs w:val="24"/>
        </w:rPr>
        <w:t>）</w:t>
      </w:r>
      <w:r>
        <w:rPr>
          <w:rFonts w:hint="eastAsia" w:ascii="仿宋" w:hAnsi="仿宋" w:eastAsia="仿宋"/>
          <w:b/>
          <w:bCs/>
          <w:kern w:val="0"/>
          <w:sz w:val="24"/>
          <w:szCs w:val="24"/>
        </w:rPr>
        <w:t>服务</w:t>
      </w:r>
      <w:r>
        <w:rPr>
          <w:rFonts w:ascii="仿宋" w:hAnsi="仿宋" w:eastAsia="仿宋"/>
          <w:b/>
          <w:bCs/>
          <w:kern w:val="0"/>
          <w:sz w:val="24"/>
          <w:szCs w:val="24"/>
        </w:rPr>
        <w:t>要求</w:t>
      </w:r>
    </w:p>
    <w:p w14:paraId="0E3AAD51">
      <w:pPr>
        <w:numPr>
          <w:ilvl w:val="0"/>
          <w:numId w:val="5"/>
        </w:numPr>
        <w:tabs>
          <w:tab w:val="left" w:pos="420"/>
        </w:tabs>
        <w:snapToGrid w:val="0"/>
        <w:spacing w:line="360" w:lineRule="auto"/>
        <w:rPr>
          <w:rFonts w:hint="eastAsia" w:ascii="仿宋" w:hAnsi="仿宋" w:eastAsia="仿宋"/>
          <w:sz w:val="24"/>
          <w:szCs w:val="24"/>
        </w:rPr>
      </w:pPr>
      <w:r>
        <w:rPr>
          <w:rFonts w:ascii="仿宋" w:hAnsi="仿宋" w:eastAsia="仿宋"/>
          <w:sz w:val="24"/>
          <w:szCs w:val="24"/>
        </w:rPr>
        <w:t>为保障档案安全，成交供应商应保持本项目档案交接人员队伍的稳定性。合同期内，供应商不得擅自更换</w:t>
      </w:r>
      <w:r>
        <w:rPr>
          <w:rFonts w:hint="eastAsia" w:ascii="仿宋" w:hAnsi="仿宋" w:eastAsia="仿宋"/>
          <w:sz w:val="24"/>
          <w:szCs w:val="24"/>
        </w:rPr>
        <w:t>本项目的</w:t>
      </w:r>
      <w:r>
        <w:rPr>
          <w:rFonts w:ascii="仿宋" w:hAnsi="仿宋" w:eastAsia="仿宋"/>
          <w:sz w:val="24"/>
          <w:szCs w:val="24"/>
        </w:rPr>
        <w:t>首次确认的档案交接人员名单；如确需变动，须事先经采购人各使用科室以微信、短信、电子邮件等任一种</w:t>
      </w:r>
      <w:r>
        <w:rPr>
          <w:rFonts w:hint="eastAsia" w:ascii="仿宋" w:hAnsi="仿宋" w:eastAsia="仿宋"/>
          <w:sz w:val="24"/>
          <w:szCs w:val="24"/>
        </w:rPr>
        <w:t>可溯查</w:t>
      </w:r>
      <w:r>
        <w:rPr>
          <w:rFonts w:ascii="仿宋" w:hAnsi="仿宋" w:eastAsia="仿宋"/>
          <w:sz w:val="24"/>
          <w:szCs w:val="24"/>
        </w:rPr>
        <w:t>方式确认后方可调整。</w:t>
      </w:r>
      <w:r>
        <w:rPr>
          <w:rFonts w:hint="eastAsia" w:ascii="仿宋" w:hAnsi="仿宋" w:eastAsia="仿宋"/>
          <w:sz w:val="24"/>
          <w:szCs w:val="24"/>
        </w:rPr>
        <w:t>工作人员须具备物品存放的常识及绝对保密意识。拟派人员必须遵纪守法、品行良好，无违法犯罪记录。项目开始前，成交供应商应对涉及此项目的员工开展岗前保密知识培训，留存相关培训资料或影像，以供采购人备查。</w:t>
      </w:r>
    </w:p>
    <w:p w14:paraId="7C17B0DF">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成交供应商必须指定专人负责落实该项目的日常工作管理，开设服务电话专线（有2条电话线，并至少有1名工作人员专门负责值守，电话服务时间为24小时不间断）。必须安排人员24小时负责不间断的仓库安保工作。对于仓库安防系统应定期巡检，保证系统正常运行，设备出现故障后必须于2小时内修复。</w:t>
      </w:r>
    </w:p>
    <w:p w14:paraId="33E960E9">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为确保档案得到妥善的存放和交接过程中的安全保障，成交供应商须具备仓库管理的计算机软件（可实现接收、仓储、反馈、出仓等各环节的信息化管理）。</w:t>
      </w:r>
    </w:p>
    <w:p w14:paraId="1B3794E7">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成交供应商需提供档案交接清单、电子文档及纸质文件，一式2份，成交供应商和采购人（档案管理部门）各执1份存底备查。每次物品进出时均要填写3联“物品进/出库单”，双方经办人签字确认并加盖公章。</w:t>
      </w:r>
    </w:p>
    <w:p w14:paraId="7860D3E9">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★成交供应商成交后，自成交供应商现场搬运档案开始，档案的所有风险交由成交供应商负责，档案丢失或损坏需由成交供应商赔偿，丢失或损坏物品按合同的相关约定的价格赔偿。</w:t>
      </w:r>
      <w:r>
        <w:rPr>
          <w:rFonts w:ascii="仿宋" w:hAnsi="仿宋" w:eastAsia="仿宋"/>
          <w:sz w:val="24"/>
          <w:szCs w:val="24"/>
        </w:rPr>
        <w:t>赔偿标准：运输或仓储期间发生档案损坏或遗失，每件赔偿3000元，每箱赔偿30000元。</w:t>
      </w:r>
      <w:r>
        <w:rPr>
          <w:rFonts w:hint="eastAsia" w:ascii="仿宋" w:hAnsi="仿宋" w:eastAsia="仿宋"/>
          <w:sz w:val="24"/>
          <w:szCs w:val="24"/>
        </w:rPr>
        <w:t>此外，因成交供应商（或其工作人员）在档案保管期间，因人为过失（包括但不限于保管不善、擅离职守、操作违规、安防措施不到位等）导致档案遗失、损毁或无法正常使用的，若因此引发任何第三方对医院提起诉讼、仲裁或索赔，则成交供应商应承担以下全部责任：</w:t>
      </w:r>
    </w:p>
    <w:p w14:paraId="3484D477">
      <w:pPr>
        <w:tabs>
          <w:tab w:val="left" w:pos="420"/>
        </w:tabs>
        <w:snapToGrid w:val="0"/>
        <w:spacing w:line="360" w:lineRule="auto"/>
        <w:ind w:left="425"/>
        <w:rPr>
          <w:rFonts w:hint="eastAsia" w:ascii="仿宋" w:hAnsi="仿宋" w:eastAsia="仿宋"/>
          <w:sz w:val="24"/>
          <w:szCs w:val="24"/>
        </w:rPr>
      </w:pPr>
      <w:r>
        <w:rPr>
          <w:rFonts w:hint="eastAsia" w:ascii="仿宋" w:hAnsi="仿宋" w:eastAsia="仿宋"/>
          <w:sz w:val="24"/>
          <w:szCs w:val="24"/>
        </w:rPr>
        <w:t>5.1承担医院因此支出的全部法律费用，包括但不限于案件受理费、财产保全费、律师代理费、鉴定费、公证费、差旅费及其他合理开支；</w:t>
      </w:r>
    </w:p>
    <w:p w14:paraId="67B7E36F">
      <w:pPr>
        <w:tabs>
          <w:tab w:val="left" w:pos="420"/>
        </w:tabs>
        <w:snapToGrid w:val="0"/>
        <w:spacing w:line="360" w:lineRule="auto"/>
        <w:ind w:left="425"/>
        <w:rPr>
          <w:rFonts w:hint="eastAsia" w:ascii="仿宋" w:hAnsi="仿宋" w:eastAsia="仿宋"/>
          <w:sz w:val="24"/>
          <w:szCs w:val="24"/>
        </w:rPr>
      </w:pPr>
      <w:r>
        <w:rPr>
          <w:rFonts w:hint="eastAsia" w:ascii="仿宋" w:hAnsi="仿宋" w:eastAsia="仿宋"/>
          <w:sz w:val="24"/>
          <w:szCs w:val="24"/>
        </w:rPr>
        <w:t>5.2直接承担该第三方因档案丢失/损毁所遭受的全部经济损失及法定赔偿，确保医院免于承担任何第三方索赔金额。</w:t>
      </w:r>
    </w:p>
    <w:p w14:paraId="22E1AA5C">
      <w:pPr>
        <w:tabs>
          <w:tab w:val="left" w:pos="420"/>
        </w:tabs>
        <w:snapToGrid w:val="0"/>
        <w:spacing w:line="360" w:lineRule="auto"/>
        <w:ind w:left="424" w:leftChars="202" w:firstLine="2"/>
        <w:rPr>
          <w:rFonts w:hint="eastAsia" w:ascii="仿宋" w:hAnsi="仿宋" w:eastAsia="仿宋"/>
          <w:sz w:val="24"/>
          <w:szCs w:val="24"/>
        </w:rPr>
      </w:pPr>
      <w:r>
        <w:rPr>
          <w:rFonts w:hint="eastAsia" w:ascii="仿宋" w:hAnsi="仿宋" w:eastAsia="仿宋"/>
          <w:sz w:val="24"/>
          <w:szCs w:val="24"/>
        </w:rPr>
        <w:t>上述赔偿责任不因医院已支付服务费而减免，且不影响医院就档案自身价值损失向成交供应商另行追偿的权利。</w:t>
      </w:r>
    </w:p>
    <w:p w14:paraId="544234F9">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成交供应商必须全天24小时积极协助采购人对库存档案进行不定期核查、取证、办理发还、移送等方面的后续处理工作，并负责将库存物品移出仓库门口指定位置，不得以任何理由推诿、拖延时间。</w:t>
      </w:r>
    </w:p>
    <w:p w14:paraId="0AF727DA">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成交供应商严格遵守采购人的要求及相关制度，确保档案摆放整洁有序，每月必须对仓库内环境卫生以及物品、运输档案车辆进行清洁，做好仓库的防潮、防鼠、防盗、防火、防自然灾害等工作，保证仓储物品完好。</w:t>
      </w:r>
    </w:p>
    <w:p w14:paraId="46C07F2E">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★成交供应商应严格遵守相关保密要求，保密需求纳入合同。具体保密要求：</w:t>
      </w:r>
    </w:p>
    <w:p w14:paraId="61DBEF43">
      <w:pPr>
        <w:spacing w:line="360" w:lineRule="auto"/>
        <w:ind w:left="210" w:leftChars="100"/>
        <w:rPr>
          <w:rFonts w:hint="eastAsia" w:ascii="仿宋" w:hAnsi="仿宋" w:eastAsia="仿宋"/>
          <w:sz w:val="24"/>
          <w:szCs w:val="24"/>
        </w:rPr>
      </w:pPr>
      <w:r>
        <w:rPr>
          <w:rFonts w:hint="eastAsia" w:ascii="仿宋" w:hAnsi="仿宋" w:eastAsia="仿宋"/>
          <w:sz w:val="24"/>
          <w:szCs w:val="24"/>
        </w:rPr>
        <w:t>（1）在履约期以及合同中/终止后，采购人专有信息应得到严格保密并局限在本合同的用途。未经采购人许可，成交供应商不得擅自动用已密封的档案，不得拆箱，不得复印、拍摄或通过其他手段采集档案信息，不得泄漏档案资料的任何信息。</w:t>
      </w:r>
    </w:p>
    <w:p w14:paraId="4D76B83A">
      <w:pPr>
        <w:spacing w:line="360" w:lineRule="auto"/>
        <w:ind w:left="210" w:leftChars="100"/>
        <w:rPr>
          <w:rFonts w:hint="eastAsia" w:ascii="仿宋" w:hAnsi="仿宋" w:eastAsia="仿宋"/>
          <w:sz w:val="24"/>
          <w:szCs w:val="24"/>
        </w:rPr>
      </w:pPr>
      <w:r>
        <w:rPr>
          <w:rFonts w:hint="eastAsia" w:ascii="仿宋" w:hAnsi="仿宋" w:eastAsia="仿宋"/>
          <w:sz w:val="24"/>
          <w:szCs w:val="24"/>
        </w:rPr>
        <w:t>（2）在履约期以及合同中/终止后，对于已经产生泄密的，成交供应商有责任追查泄密原因，采购人有权追究成交供应商的一切相关责任。</w:t>
      </w:r>
    </w:p>
    <w:p w14:paraId="5E866F92">
      <w:pPr>
        <w:spacing w:line="360" w:lineRule="auto"/>
        <w:ind w:left="210" w:leftChars="100"/>
        <w:rPr>
          <w:rFonts w:hint="eastAsia" w:ascii="仿宋" w:hAnsi="仿宋" w:eastAsia="仿宋"/>
          <w:sz w:val="24"/>
          <w:szCs w:val="24"/>
        </w:rPr>
      </w:pPr>
      <w:r>
        <w:rPr>
          <w:rFonts w:hint="eastAsia" w:ascii="仿宋" w:hAnsi="仿宋" w:eastAsia="仿宋"/>
          <w:sz w:val="24"/>
          <w:szCs w:val="24"/>
        </w:rPr>
        <w:t>（3）在履约期以及合同中止后，因成交供应商过错致使采购人委托存储物品的专有信息被泄密并给采购人造成较大经济损失的，采购人有权终止合同，并追究成交供应商的经济责任及法律责任。</w:t>
      </w:r>
    </w:p>
    <w:p w14:paraId="66732075">
      <w:pPr>
        <w:spacing w:line="360" w:lineRule="auto"/>
        <w:ind w:left="210" w:leftChars="100"/>
        <w:rPr>
          <w:rFonts w:hint="eastAsia" w:ascii="仿宋" w:hAnsi="仿宋" w:eastAsia="仿宋"/>
          <w:sz w:val="24"/>
          <w:szCs w:val="24"/>
        </w:rPr>
      </w:pPr>
      <w:r>
        <w:rPr>
          <w:rFonts w:hint="eastAsia" w:ascii="仿宋" w:hAnsi="仿宋" w:eastAsia="仿宋"/>
          <w:sz w:val="24"/>
          <w:szCs w:val="24"/>
        </w:rPr>
        <w:t>（4）做到不损坏、不遗失及篡改，妥善保管。</w:t>
      </w:r>
    </w:p>
    <w:p w14:paraId="69B12256">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成交供应商需确保仓库建筑物的安全及完整性，不得存在任何安全隐患，如建筑物出现任何损坏，成交供应商必须在2天内修复。</w:t>
      </w:r>
    </w:p>
    <w:p w14:paraId="4B7F246B">
      <w:pPr>
        <w:numPr>
          <w:ilvl w:val="0"/>
          <w:numId w:val="5"/>
        </w:numPr>
        <w:tabs>
          <w:tab w:val="left" w:pos="420"/>
        </w:tabs>
        <w:snapToGrid w:val="0"/>
        <w:spacing w:line="360" w:lineRule="auto"/>
        <w:rPr>
          <w:rFonts w:hint="eastAsia" w:ascii="仿宋" w:hAnsi="仿宋" w:eastAsia="仿宋"/>
          <w:sz w:val="24"/>
          <w:szCs w:val="24"/>
        </w:rPr>
      </w:pPr>
      <w:bookmarkStart w:id="2" w:name="_Toc350412559"/>
      <w:r>
        <w:rPr>
          <w:rFonts w:ascii="仿宋" w:hAnsi="仿宋" w:eastAsia="仿宋"/>
          <w:sz w:val="24"/>
          <w:szCs w:val="24"/>
        </w:rPr>
        <w:t>★</w:t>
      </w:r>
      <w:r>
        <w:rPr>
          <w:rFonts w:hint="eastAsia" w:ascii="仿宋" w:hAnsi="仿宋" w:eastAsia="仿宋"/>
          <w:sz w:val="24"/>
          <w:szCs w:val="24"/>
        </w:rPr>
        <w:t>档案现场查阅：</w:t>
      </w:r>
      <w:bookmarkEnd w:id="2"/>
      <w:r>
        <w:rPr>
          <w:rFonts w:hint="eastAsia" w:ascii="仿宋" w:hAnsi="仿宋" w:eastAsia="仿宋"/>
          <w:sz w:val="24"/>
          <w:szCs w:val="24"/>
        </w:rPr>
        <w:t>在档案保管服务期间，采购人可指派授权人员预约前往档案保管处进行现场查阅档案，成交供应商应配合并提供相关必要设备及服务，此项服务不额外收费。成交供应商需为仓库购买公众责任险，附上保险单复印件并加盖公章。</w:t>
      </w:r>
    </w:p>
    <w:p w14:paraId="67A4FB47">
      <w:pPr>
        <w:numPr>
          <w:ilvl w:val="0"/>
          <w:numId w:val="5"/>
        </w:numPr>
        <w:tabs>
          <w:tab w:val="left" w:pos="420"/>
        </w:tabs>
        <w:snapToGrid w:val="0"/>
        <w:spacing w:line="360" w:lineRule="auto"/>
        <w:rPr>
          <w:rFonts w:hint="eastAsia" w:ascii="仿宋" w:hAnsi="仿宋" w:eastAsia="仿宋"/>
          <w:sz w:val="24"/>
          <w:szCs w:val="24"/>
        </w:rPr>
      </w:pPr>
      <w:r>
        <w:rPr>
          <w:rFonts w:ascii="仿宋" w:hAnsi="仿宋" w:eastAsia="仿宋"/>
          <w:sz w:val="24"/>
          <w:szCs w:val="24"/>
        </w:rPr>
        <w:t>★</w:t>
      </w:r>
      <w:r>
        <w:rPr>
          <w:rFonts w:hint="eastAsia" w:ascii="仿宋" w:hAnsi="仿宋" w:eastAsia="仿宋"/>
          <w:sz w:val="24"/>
          <w:szCs w:val="24"/>
        </w:rPr>
        <w:t>档案调阅：</w:t>
      </w:r>
    </w:p>
    <w:p w14:paraId="3F48CDE7">
      <w:pPr>
        <w:spacing w:line="360" w:lineRule="auto"/>
        <w:ind w:left="210" w:leftChars="100"/>
        <w:rPr>
          <w:rFonts w:hint="eastAsia" w:ascii="仿宋" w:hAnsi="仿宋" w:eastAsia="仿宋"/>
          <w:sz w:val="24"/>
          <w:szCs w:val="24"/>
        </w:rPr>
      </w:pPr>
      <w:r>
        <w:rPr>
          <w:rFonts w:hint="eastAsia" w:ascii="仿宋" w:hAnsi="仿宋" w:eastAsia="仿宋"/>
          <w:sz w:val="24"/>
          <w:szCs w:val="24"/>
        </w:rPr>
        <w:t>11.1档案调阅含</w:t>
      </w:r>
      <w:r>
        <w:rPr>
          <w:rFonts w:hint="eastAsia" w:ascii="仿宋" w:hAnsi="仿宋" w:eastAsia="仿宋"/>
          <w:bCs/>
          <w:sz w:val="24"/>
          <w:szCs w:val="24"/>
        </w:rPr>
        <w:t>回收要求：</w:t>
      </w:r>
    </w:p>
    <w:p w14:paraId="670FDB1A">
      <w:pPr>
        <w:pStyle w:val="34"/>
        <w:tabs>
          <w:tab w:val="left" w:pos="420"/>
        </w:tabs>
        <w:spacing w:line="360" w:lineRule="auto"/>
        <w:ind w:left="420" w:leftChars="200"/>
        <w:rPr>
          <w:rFonts w:hint="eastAsia" w:ascii="仿宋" w:hAnsi="仿宋" w:eastAsia="仿宋"/>
          <w:sz w:val="24"/>
          <w:szCs w:val="24"/>
        </w:rPr>
      </w:pPr>
      <w:r>
        <w:rPr>
          <w:rFonts w:hint="eastAsia" w:ascii="仿宋" w:hAnsi="仿宋" w:eastAsia="仿宋"/>
          <w:sz w:val="24"/>
          <w:szCs w:val="24"/>
        </w:rPr>
        <w:t>11.1</w:t>
      </w:r>
      <w:r>
        <w:rPr>
          <w:rFonts w:hint="eastAsia" w:ascii="仿宋" w:hAnsi="仿宋" w:eastAsia="仿宋"/>
          <w:bCs/>
          <w:sz w:val="24"/>
          <w:szCs w:val="24"/>
        </w:rPr>
        <w:t>.1普通调阅含回收：采购人前一天下午5点前下指令，成交供应商次日下午5点前送达。</w:t>
      </w:r>
    </w:p>
    <w:p w14:paraId="66555986">
      <w:pPr>
        <w:pStyle w:val="34"/>
        <w:tabs>
          <w:tab w:val="left" w:pos="420"/>
        </w:tabs>
        <w:spacing w:line="360" w:lineRule="auto"/>
        <w:ind w:left="420" w:leftChars="200"/>
        <w:rPr>
          <w:rFonts w:hint="eastAsia" w:ascii="仿宋" w:hAnsi="仿宋" w:eastAsia="仿宋"/>
          <w:sz w:val="24"/>
          <w:szCs w:val="24"/>
        </w:rPr>
      </w:pPr>
      <w:r>
        <w:rPr>
          <w:rFonts w:hint="eastAsia" w:ascii="仿宋" w:hAnsi="仿宋" w:eastAsia="仿宋"/>
          <w:sz w:val="24"/>
          <w:szCs w:val="24"/>
        </w:rPr>
        <w:t>11.1</w:t>
      </w:r>
      <w:r>
        <w:rPr>
          <w:rFonts w:hint="eastAsia" w:ascii="仿宋" w:hAnsi="仿宋" w:eastAsia="仿宋"/>
          <w:bCs/>
          <w:sz w:val="24"/>
          <w:szCs w:val="24"/>
        </w:rPr>
        <w:t>.2紧急调阅含回收：</w:t>
      </w:r>
      <w:r>
        <w:rPr>
          <w:rFonts w:hint="eastAsia" w:ascii="仿宋" w:hAnsi="仿宋" w:eastAsia="仿宋" w:cs="宋体"/>
          <w:kern w:val="0"/>
          <w:sz w:val="24"/>
          <w:szCs w:val="24"/>
        </w:rPr>
        <w:t>自</w:t>
      </w:r>
      <w:r>
        <w:rPr>
          <w:rFonts w:hint="eastAsia" w:ascii="仿宋" w:hAnsi="仿宋" w:eastAsia="仿宋"/>
          <w:bCs/>
          <w:sz w:val="24"/>
          <w:szCs w:val="24"/>
        </w:rPr>
        <w:t>采购人</w:t>
      </w:r>
      <w:r>
        <w:rPr>
          <w:rFonts w:hint="eastAsia" w:ascii="仿宋" w:hAnsi="仿宋" w:eastAsia="仿宋" w:cs="宋体"/>
          <w:kern w:val="0"/>
          <w:sz w:val="24"/>
          <w:szCs w:val="24"/>
        </w:rPr>
        <w:t>下指令后</w:t>
      </w:r>
      <w:r>
        <w:rPr>
          <w:rFonts w:hint="eastAsia" w:ascii="仿宋" w:hAnsi="仿宋" w:eastAsia="仿宋"/>
          <w:bCs/>
          <w:sz w:val="24"/>
          <w:szCs w:val="24"/>
        </w:rPr>
        <w:t>，成交供应商在</w:t>
      </w:r>
      <w:r>
        <w:rPr>
          <w:rFonts w:hint="eastAsia" w:ascii="仿宋" w:hAnsi="仿宋" w:eastAsia="仿宋" w:cs="宋体"/>
          <w:kern w:val="0"/>
          <w:sz w:val="24"/>
          <w:szCs w:val="24"/>
        </w:rPr>
        <w:t>工作时间6小时内送达。</w:t>
      </w:r>
    </w:p>
    <w:p w14:paraId="735844CA">
      <w:pPr>
        <w:pStyle w:val="34"/>
        <w:tabs>
          <w:tab w:val="left" w:pos="420"/>
        </w:tabs>
        <w:spacing w:line="360" w:lineRule="auto"/>
        <w:ind w:left="420" w:leftChars="200"/>
        <w:rPr>
          <w:rFonts w:hint="eastAsia" w:ascii="仿宋" w:hAnsi="仿宋" w:eastAsia="仿宋" w:cs="宋体"/>
          <w:kern w:val="0"/>
          <w:sz w:val="24"/>
          <w:szCs w:val="24"/>
        </w:rPr>
      </w:pPr>
      <w:r>
        <w:rPr>
          <w:rFonts w:hint="eastAsia" w:ascii="仿宋" w:hAnsi="仿宋" w:eastAsia="仿宋"/>
          <w:sz w:val="24"/>
          <w:szCs w:val="24"/>
        </w:rPr>
        <w:t>11.1</w:t>
      </w:r>
      <w:r>
        <w:rPr>
          <w:rFonts w:hint="eastAsia" w:ascii="仿宋" w:hAnsi="仿宋" w:eastAsia="仿宋"/>
          <w:bCs/>
          <w:sz w:val="24"/>
          <w:szCs w:val="24"/>
        </w:rPr>
        <w:t>.3特殊调阅含回收：</w:t>
      </w:r>
      <w:r>
        <w:rPr>
          <w:rFonts w:hint="eastAsia" w:ascii="仿宋" w:hAnsi="仿宋" w:eastAsia="仿宋" w:cs="宋体"/>
          <w:kern w:val="0"/>
          <w:sz w:val="24"/>
          <w:szCs w:val="24"/>
        </w:rPr>
        <w:t>国家法定节假日调出，自</w:t>
      </w:r>
      <w:r>
        <w:rPr>
          <w:rFonts w:hint="eastAsia" w:ascii="仿宋" w:hAnsi="仿宋" w:eastAsia="仿宋"/>
          <w:bCs/>
          <w:sz w:val="24"/>
          <w:szCs w:val="24"/>
        </w:rPr>
        <w:t>采购人</w:t>
      </w:r>
      <w:r>
        <w:rPr>
          <w:rFonts w:hint="eastAsia" w:ascii="仿宋" w:hAnsi="仿宋" w:eastAsia="仿宋" w:cs="宋体"/>
          <w:kern w:val="0"/>
          <w:sz w:val="24"/>
          <w:szCs w:val="24"/>
        </w:rPr>
        <w:t>下指令后</w:t>
      </w:r>
      <w:r>
        <w:rPr>
          <w:rFonts w:hint="eastAsia" w:ascii="仿宋" w:hAnsi="仿宋" w:eastAsia="仿宋"/>
          <w:bCs/>
          <w:sz w:val="24"/>
          <w:szCs w:val="24"/>
        </w:rPr>
        <w:t>，成交供应商在</w:t>
      </w:r>
      <w:r>
        <w:rPr>
          <w:rFonts w:hint="eastAsia" w:ascii="仿宋" w:hAnsi="仿宋" w:eastAsia="仿宋" w:cs="宋体"/>
          <w:kern w:val="0"/>
          <w:sz w:val="24"/>
          <w:szCs w:val="24"/>
        </w:rPr>
        <w:t>工作时间6小时内送达。</w:t>
      </w:r>
    </w:p>
    <w:p w14:paraId="1C53F4CB">
      <w:pPr>
        <w:numPr>
          <w:ilvl w:val="255"/>
          <w:numId w:val="0"/>
        </w:numPr>
        <w:tabs>
          <w:tab w:val="left" w:pos="420"/>
        </w:tabs>
        <w:snapToGrid w:val="0"/>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11.2档案调阅要求：成交供应商需提供档案临时调阅的派送和回收服务，必须由采购人授权人员方可进行发送调阅指令与档案送达后接收。如果采购人需要调阅档案原件，成交供应商需派出专车专人负责在要求时间以内安全送达（供应商需提供承诺函注明自有派送调阅资料的专车）。采购人使用完毕后，成交供应商负责安全送回库房存放。调阅服务需求由采购人授权人员通过电子邮件、微信或电话方式下达，成交供应商必须记录档案原件出入库房及送取交接等情况，包括档案号、档案箱号、经办责任人签名盖章、日期时间等。资料保管时间以实际出入库记录时间为准。</w:t>
      </w:r>
    </w:p>
    <w:p w14:paraId="5DF621C2">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根据本项目需求解读，提供相应的服务方案、人员配备方案以及遇火灾、遇洪涝、遇盗窃、运输途中遇极端天气的应急处理方案。</w:t>
      </w:r>
    </w:p>
    <w:p w14:paraId="7425596B">
      <w:pPr>
        <w:numPr>
          <w:ilvl w:val="0"/>
          <w:numId w:val="5"/>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采购人寄存的资料应集中放置，以小程序或APP等形式向采购人远程提供寄存资料的实时监控画面。</w:t>
      </w:r>
    </w:p>
    <w:p w14:paraId="5BE2C984">
      <w:pPr>
        <w:tabs>
          <w:tab w:val="left" w:pos="420"/>
          <w:tab w:val="left" w:pos="540"/>
        </w:tabs>
        <w:adjustRightInd w:val="0"/>
        <w:snapToGrid w:val="0"/>
        <w:spacing w:line="360" w:lineRule="auto"/>
        <w:outlineLvl w:val="1"/>
        <w:rPr>
          <w:rFonts w:hint="eastAsia" w:ascii="仿宋" w:hAnsi="仿宋" w:eastAsia="仿宋"/>
          <w:b/>
          <w:bCs/>
          <w:kern w:val="0"/>
          <w:sz w:val="24"/>
          <w:szCs w:val="24"/>
        </w:rPr>
      </w:pPr>
      <w:r>
        <w:rPr>
          <w:rFonts w:ascii="仿宋" w:hAnsi="仿宋" w:eastAsia="仿宋"/>
          <w:b/>
          <w:bCs/>
          <w:kern w:val="0"/>
          <w:sz w:val="24"/>
          <w:szCs w:val="24"/>
        </w:rPr>
        <w:t>（</w:t>
      </w:r>
      <w:r>
        <w:rPr>
          <w:rFonts w:hint="eastAsia" w:ascii="仿宋" w:hAnsi="仿宋" w:eastAsia="仿宋"/>
          <w:b/>
          <w:bCs/>
          <w:kern w:val="0"/>
          <w:sz w:val="24"/>
          <w:szCs w:val="24"/>
        </w:rPr>
        <w:t>五</w:t>
      </w:r>
      <w:r>
        <w:rPr>
          <w:rFonts w:ascii="仿宋" w:hAnsi="仿宋" w:eastAsia="仿宋"/>
          <w:b/>
          <w:bCs/>
          <w:kern w:val="0"/>
          <w:sz w:val="24"/>
          <w:szCs w:val="24"/>
        </w:rPr>
        <w:t>）</w:t>
      </w:r>
      <w:r>
        <w:rPr>
          <w:rFonts w:hint="eastAsia" w:ascii="仿宋" w:hAnsi="仿宋" w:eastAsia="仿宋"/>
          <w:b/>
          <w:bCs/>
          <w:kern w:val="0"/>
          <w:sz w:val="24"/>
          <w:szCs w:val="24"/>
        </w:rPr>
        <w:t>报价</w:t>
      </w:r>
      <w:r>
        <w:rPr>
          <w:rFonts w:ascii="仿宋" w:hAnsi="仿宋" w:eastAsia="仿宋"/>
          <w:b/>
          <w:bCs/>
          <w:kern w:val="0"/>
          <w:sz w:val="24"/>
          <w:szCs w:val="24"/>
        </w:rPr>
        <w:t>要求</w:t>
      </w:r>
    </w:p>
    <w:p w14:paraId="2659A884">
      <w:pPr>
        <w:numPr>
          <w:ilvl w:val="0"/>
          <w:numId w:val="6"/>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仓储服务费均以单价（元/箱/年）的方式报价。本次采购首次入库预计12581箱，3年增量预计1050箱，3年需托管档案总量预计为13631箱（数量均为预计数量，仅供报价参考，实际以双方交接数量为准），项目执行期间，</w:t>
      </w:r>
      <w:bookmarkStart w:id="3" w:name="_Hlk56000338"/>
      <w:r>
        <w:rPr>
          <w:rFonts w:hint="eastAsia" w:ascii="仿宋" w:hAnsi="仿宋" w:eastAsia="仿宋"/>
          <w:sz w:val="24"/>
          <w:szCs w:val="24"/>
        </w:rPr>
        <w:t>均按实际托管档案箱数、托管时间及最后中标单价进行结算。</w:t>
      </w:r>
      <w:bookmarkEnd w:id="3"/>
    </w:p>
    <w:p w14:paraId="58A2A871">
      <w:pPr>
        <w:numPr>
          <w:ilvl w:val="0"/>
          <w:numId w:val="6"/>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供应商的报价须包含档案搬迁、档案查阅、档案往返送费、快递费、人工送达费、破损重新包装、车辆的仓储管理、库内移动等一切在实施过程中发生以及可预见的相关费用。</w:t>
      </w:r>
      <w:bookmarkStart w:id="4" w:name="_Hlk139557152"/>
    </w:p>
    <w:bookmarkEnd w:id="4"/>
    <w:p w14:paraId="7324E4BE">
      <w:pPr>
        <w:numPr>
          <w:ilvl w:val="0"/>
          <w:numId w:val="6"/>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采购人各个科室需资料保管时，无论数量多少，均需当季度运走，费用包含在资料保管服务费内。</w:t>
      </w:r>
    </w:p>
    <w:p w14:paraId="69684A3A">
      <w:pPr>
        <w:tabs>
          <w:tab w:val="left" w:pos="420"/>
          <w:tab w:val="left" w:pos="540"/>
        </w:tabs>
        <w:adjustRightInd w:val="0"/>
        <w:snapToGrid w:val="0"/>
        <w:spacing w:line="360" w:lineRule="auto"/>
        <w:outlineLvl w:val="1"/>
        <w:rPr>
          <w:rFonts w:hint="eastAsia" w:ascii="仿宋" w:hAnsi="仿宋" w:eastAsia="仿宋"/>
          <w:b/>
          <w:bCs/>
          <w:kern w:val="0"/>
          <w:sz w:val="24"/>
          <w:szCs w:val="24"/>
        </w:rPr>
      </w:pPr>
      <w:bookmarkStart w:id="5" w:name="_Toc422784820"/>
      <w:r>
        <w:rPr>
          <w:rFonts w:ascii="仿宋" w:hAnsi="仿宋" w:eastAsia="仿宋"/>
          <w:b/>
          <w:bCs/>
          <w:kern w:val="0"/>
          <w:sz w:val="24"/>
          <w:szCs w:val="24"/>
        </w:rPr>
        <w:t>（</w:t>
      </w:r>
      <w:r>
        <w:rPr>
          <w:rFonts w:hint="eastAsia" w:ascii="仿宋" w:hAnsi="仿宋" w:eastAsia="仿宋"/>
          <w:b/>
          <w:bCs/>
          <w:kern w:val="0"/>
          <w:sz w:val="24"/>
          <w:szCs w:val="24"/>
        </w:rPr>
        <w:t>六</w:t>
      </w:r>
      <w:r>
        <w:rPr>
          <w:rFonts w:ascii="仿宋" w:hAnsi="仿宋" w:eastAsia="仿宋"/>
          <w:b/>
          <w:bCs/>
          <w:kern w:val="0"/>
          <w:sz w:val="24"/>
          <w:szCs w:val="24"/>
        </w:rPr>
        <w:t>）</w:t>
      </w:r>
      <w:r>
        <w:rPr>
          <w:rFonts w:hint="eastAsia" w:ascii="仿宋" w:hAnsi="仿宋" w:eastAsia="仿宋"/>
          <w:b/>
          <w:bCs/>
          <w:kern w:val="0"/>
          <w:sz w:val="24"/>
          <w:szCs w:val="24"/>
        </w:rPr>
        <w:t>履约保证金</w:t>
      </w:r>
    </w:p>
    <w:p w14:paraId="60F480FD">
      <w:pPr>
        <w:spacing w:line="360" w:lineRule="auto"/>
        <w:ind w:firstLine="480" w:firstLineChars="200"/>
        <w:rPr>
          <w:rFonts w:hint="eastAsia" w:ascii="仿宋" w:hAnsi="仿宋" w:eastAsia="仿宋"/>
          <w:bCs/>
          <w:sz w:val="24"/>
          <w:szCs w:val="24"/>
          <w:lang w:val="zh-CN"/>
        </w:rPr>
      </w:pPr>
      <w:r>
        <w:rPr>
          <w:rFonts w:hint="eastAsia" w:ascii="仿宋" w:hAnsi="仿宋" w:eastAsia="仿宋"/>
          <w:bCs/>
          <w:sz w:val="24"/>
          <w:szCs w:val="24"/>
          <w:lang w:val="zh-CN"/>
        </w:rPr>
        <w:t>成交供应商在合同签订后20个工作日内，向采购人提交履约保证金</w:t>
      </w:r>
      <w:r>
        <w:rPr>
          <w:rFonts w:hint="eastAsia" w:ascii="Calibri" w:hAnsi="Calibri" w:eastAsia="仿宋" w:cs="Calibri"/>
          <w:bCs/>
          <w:sz w:val="24"/>
          <w:szCs w:val="24"/>
          <w:lang w:val="zh-CN"/>
        </w:rPr>
        <w:t>¥</w:t>
      </w:r>
      <w:r>
        <w:rPr>
          <w:rFonts w:ascii="仿宋" w:hAnsi="仿宋" w:eastAsia="仿宋"/>
          <w:bCs/>
          <w:sz w:val="24"/>
          <w:szCs w:val="24"/>
          <w:lang w:val="zh-CN"/>
        </w:rPr>
        <w:t>30</w:t>
      </w:r>
      <w:r>
        <w:rPr>
          <w:rFonts w:hint="eastAsia" w:ascii="仿宋" w:hAnsi="仿宋" w:eastAsia="仿宋"/>
          <w:bCs/>
          <w:sz w:val="24"/>
          <w:szCs w:val="24"/>
          <w:lang w:val="zh-CN"/>
        </w:rPr>
        <w:t>000.00元（人民币叁万元整）。履约保证金以银行转账形式提交。在合同执行期间发生成交供应商违约时可先用履约保证金抵扣，若履约保证金不足抵扣时，成交供应商仍应在限期内支付不足的违约金。同时，成交供应商须在5个工作日内补足履约保证金。履约保证金在合同履行期满20个工作日内，由成交供应商提交书面申请，采购人无息退还给成交供应商。</w:t>
      </w:r>
    </w:p>
    <w:bookmarkEnd w:id="5"/>
    <w:p w14:paraId="1F0555A9">
      <w:pPr>
        <w:tabs>
          <w:tab w:val="left" w:pos="420"/>
          <w:tab w:val="left" w:pos="540"/>
        </w:tabs>
        <w:adjustRightInd w:val="0"/>
        <w:snapToGrid w:val="0"/>
        <w:spacing w:line="360" w:lineRule="auto"/>
        <w:outlineLvl w:val="1"/>
        <w:rPr>
          <w:rFonts w:hint="eastAsia" w:ascii="仿宋" w:hAnsi="仿宋" w:eastAsia="仿宋"/>
          <w:b/>
          <w:bCs/>
          <w:kern w:val="0"/>
          <w:sz w:val="24"/>
          <w:szCs w:val="24"/>
        </w:rPr>
      </w:pPr>
      <w:r>
        <w:rPr>
          <w:rFonts w:ascii="仿宋" w:hAnsi="仿宋" w:eastAsia="仿宋"/>
          <w:b/>
          <w:bCs/>
          <w:kern w:val="0"/>
          <w:sz w:val="24"/>
          <w:szCs w:val="24"/>
        </w:rPr>
        <w:t>（</w:t>
      </w:r>
      <w:r>
        <w:rPr>
          <w:rFonts w:hint="eastAsia" w:ascii="仿宋" w:hAnsi="仿宋" w:eastAsia="仿宋"/>
          <w:b/>
          <w:bCs/>
          <w:kern w:val="0"/>
          <w:sz w:val="24"/>
          <w:szCs w:val="24"/>
        </w:rPr>
        <w:t>七</w:t>
      </w:r>
      <w:r>
        <w:rPr>
          <w:rFonts w:ascii="仿宋" w:hAnsi="仿宋" w:eastAsia="仿宋"/>
          <w:b/>
          <w:bCs/>
          <w:kern w:val="0"/>
          <w:sz w:val="24"/>
          <w:szCs w:val="24"/>
        </w:rPr>
        <w:t>）★</w:t>
      </w:r>
      <w:r>
        <w:rPr>
          <w:rFonts w:hint="eastAsia" w:ascii="仿宋" w:hAnsi="仿宋" w:eastAsia="仿宋"/>
          <w:b/>
          <w:bCs/>
          <w:kern w:val="0"/>
          <w:sz w:val="24"/>
          <w:szCs w:val="24"/>
        </w:rPr>
        <w:t>付款方式</w:t>
      </w:r>
    </w:p>
    <w:p w14:paraId="2AB3EF84">
      <w:pPr>
        <w:numPr>
          <w:ilvl w:val="0"/>
          <w:numId w:val="7"/>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本项目所有费用均按实结算，资料保管时间以实际出入库记录时间为准。</w:t>
      </w:r>
    </w:p>
    <w:p w14:paraId="53F85A7E">
      <w:pPr>
        <w:numPr>
          <w:ilvl w:val="0"/>
          <w:numId w:val="7"/>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结算依据：每年托管服务费以中标托管单价×双方书面确认的实际托管档案箱数核算；超20次/年档案调阅服务费、纸箱锁条条形码防水袋费用均以对应中标单价结合当期实际发生数量按实结算；每年度各使用科室分别填写采购资料保管服务考核评分表，按考核得分结算服务费。</w:t>
      </w:r>
    </w:p>
    <w:p w14:paraId="79B46ECF">
      <w:pPr>
        <w:numPr>
          <w:ilvl w:val="0"/>
          <w:numId w:val="7"/>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服务费结算方式：</w:t>
      </w:r>
    </w:p>
    <w:p w14:paraId="1A0BEFA4">
      <w:pPr>
        <w:spacing w:line="360" w:lineRule="auto"/>
        <w:ind w:left="210" w:leftChars="100"/>
        <w:rPr>
          <w:rFonts w:hint="eastAsia" w:ascii="仿宋" w:hAnsi="仿宋" w:eastAsia="仿宋"/>
          <w:sz w:val="24"/>
          <w:szCs w:val="24"/>
        </w:rPr>
      </w:pPr>
      <w:r>
        <w:rPr>
          <w:rFonts w:hint="eastAsia" w:ascii="仿宋" w:hAnsi="仿宋" w:eastAsia="仿宋"/>
          <w:bCs/>
          <w:sz w:val="24"/>
          <w:szCs w:val="24"/>
          <w:lang w:val="zh-CN"/>
        </w:rPr>
        <w:t>（1）按实际托管档案箱数、托管时间及合同单价进行结算。实际托管档案箱数、时间需经甲乙双方书面确认。年托管单价已包含档案搬迁、档案查阅、档案往返送费、快递费、人工送达费、破损重新包装、车辆的仓储管理、库内移动等一切在实施过程中发生的相关费用。采购人病案库病案已用纸箱包装，有贴条形码，采购人除病案库外的其他科室需供应商提供</w:t>
      </w:r>
      <w:r>
        <w:rPr>
          <w:rFonts w:hint="eastAsia" w:ascii="仿宋" w:hAnsi="仿宋" w:eastAsia="仿宋"/>
          <w:sz w:val="24"/>
          <w:szCs w:val="24"/>
        </w:rPr>
        <w:t>纸箱锁条条形码，3年合同期内如需提供的纸箱锁条条形码另外结算费用，结算价格以中标单价为准。</w:t>
      </w:r>
    </w:p>
    <w:p w14:paraId="56F5248B">
      <w:pPr>
        <w:spacing w:line="360" w:lineRule="auto"/>
        <w:ind w:left="210" w:leftChars="100"/>
        <w:rPr>
          <w:rFonts w:hint="eastAsia" w:ascii="仿宋" w:hAnsi="仿宋" w:eastAsia="仿宋"/>
          <w:sz w:val="24"/>
          <w:szCs w:val="24"/>
        </w:rPr>
      </w:pPr>
      <w:r>
        <w:rPr>
          <w:rFonts w:hint="eastAsia" w:ascii="仿宋" w:hAnsi="仿宋" w:eastAsia="仿宋"/>
          <w:sz w:val="24"/>
          <w:szCs w:val="24"/>
        </w:rPr>
        <w:t>（2）由采购人各使用科室对成交供应商每年度进行考评1次，各科室评分满分为100分，平均分在80分及以上不需要扣维保费，平均分在80分以下的，每低1分扣当期1％维保费。若成交供应商1个考核周期低于60分或连续2个考核周期低于70分，采购人有权终止合同。</w:t>
      </w:r>
    </w:p>
    <w:p w14:paraId="1587CAA8">
      <w:pPr>
        <w:numPr>
          <w:ilvl w:val="0"/>
          <w:numId w:val="7"/>
        </w:numPr>
        <w:tabs>
          <w:tab w:val="left" w:pos="420"/>
        </w:tabs>
        <w:snapToGrid w:val="0"/>
        <w:spacing w:line="360" w:lineRule="auto"/>
        <w:rPr>
          <w:rFonts w:hint="eastAsia" w:ascii="仿宋" w:hAnsi="仿宋" w:eastAsia="仿宋"/>
          <w:sz w:val="24"/>
          <w:szCs w:val="24"/>
        </w:rPr>
      </w:pPr>
      <w:bookmarkStart w:id="6" w:name="_Hlk139980534"/>
      <w:r>
        <w:rPr>
          <w:rFonts w:hint="eastAsia" w:ascii="仿宋" w:hAnsi="仿宋" w:eastAsia="仿宋"/>
          <w:sz w:val="24"/>
          <w:szCs w:val="24"/>
        </w:rPr>
        <w:t>服务费支付方式：第一年以成交供应商将档案完整搬运至存储仓库且双方核算服务费完毕后，采购人收到成交供应商提供合格有效的发票后20个工作日内支付第一年服务费的30%，第一年托管服务完成后，采购人收到成交供应商提供合格有效的发票后20个工作日内支付第一年剩余的服务费（含新增部分）。第二年的服务费在当年托管服务完成，双方对账完毕后，采购人在收到成交供应商提供的合格有效的发票后20个工作日内予全额支付，第三年的服务费在当年托管服务完成且采购人与下期成交供应商双方交接完成后，采购人与成交供应商双方对该年度的服务费进行结算确认，采购人在收到成交供应商提供的合格有效的发票后20个工作日内予全额支付。</w:t>
      </w:r>
    </w:p>
    <w:p w14:paraId="15764090">
      <w:pPr>
        <w:tabs>
          <w:tab w:val="left" w:pos="420"/>
          <w:tab w:val="left" w:pos="540"/>
        </w:tabs>
        <w:adjustRightInd w:val="0"/>
        <w:snapToGrid w:val="0"/>
        <w:spacing w:line="360" w:lineRule="auto"/>
        <w:ind w:left="180"/>
        <w:outlineLvl w:val="0"/>
        <w:rPr>
          <w:rFonts w:hint="eastAsia" w:ascii="仿宋" w:hAnsi="仿宋" w:eastAsia="仿宋"/>
          <w:b/>
          <w:kern w:val="0"/>
          <w:sz w:val="24"/>
          <w:szCs w:val="24"/>
        </w:rPr>
      </w:pPr>
      <w:r>
        <w:rPr>
          <w:rFonts w:hint="eastAsia" w:ascii="仿宋" w:hAnsi="仿宋" w:eastAsia="仿宋"/>
          <w:b/>
          <w:kern w:val="0"/>
          <w:sz w:val="24"/>
          <w:szCs w:val="24"/>
        </w:rPr>
        <w:t>五、市场调研需提供资料</w:t>
      </w:r>
    </w:p>
    <w:p w14:paraId="74978A42">
      <w:pPr>
        <w:numPr>
          <w:ilvl w:val="0"/>
          <w:numId w:val="8"/>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公司营业执照复印件并加盖公章</w:t>
      </w:r>
    </w:p>
    <w:p w14:paraId="749FFDC9">
      <w:pPr>
        <w:numPr>
          <w:ilvl w:val="0"/>
          <w:numId w:val="8"/>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项目报价单（详见附件一）并加盖公章</w:t>
      </w:r>
    </w:p>
    <w:p w14:paraId="38D7F2F1">
      <w:pPr>
        <w:numPr>
          <w:ilvl w:val="0"/>
          <w:numId w:val="8"/>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仓库在高德地图的交通示意图并加盖公章</w:t>
      </w:r>
    </w:p>
    <w:p w14:paraId="4F8FE92F">
      <w:pPr>
        <w:numPr>
          <w:ilvl w:val="0"/>
          <w:numId w:val="8"/>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仓库场地合法使用证明并加盖公章</w:t>
      </w:r>
    </w:p>
    <w:p w14:paraId="5EF17D8C">
      <w:pPr>
        <w:numPr>
          <w:ilvl w:val="0"/>
          <w:numId w:val="8"/>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仓库最底层档案至少离地10公分的承诺函并加盖公章</w:t>
      </w:r>
    </w:p>
    <w:p w14:paraId="716A5D04">
      <w:pPr>
        <w:numPr>
          <w:ilvl w:val="0"/>
          <w:numId w:val="8"/>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仓库购买公众责任险并加盖公章</w:t>
      </w:r>
    </w:p>
    <w:p w14:paraId="187F57A5">
      <w:pPr>
        <w:tabs>
          <w:tab w:val="left" w:pos="420"/>
          <w:tab w:val="left" w:pos="540"/>
        </w:tabs>
        <w:adjustRightInd w:val="0"/>
        <w:snapToGrid w:val="0"/>
        <w:spacing w:line="360" w:lineRule="auto"/>
        <w:ind w:left="180"/>
        <w:outlineLvl w:val="0"/>
        <w:rPr>
          <w:rFonts w:hint="eastAsia" w:ascii="仿宋" w:hAnsi="仿宋" w:eastAsia="仿宋"/>
          <w:b/>
          <w:kern w:val="0"/>
          <w:sz w:val="24"/>
          <w:szCs w:val="24"/>
        </w:rPr>
      </w:pPr>
      <w:r>
        <w:rPr>
          <w:rFonts w:hint="eastAsia" w:ascii="仿宋" w:hAnsi="仿宋" w:eastAsia="仿宋"/>
          <w:b/>
          <w:kern w:val="0"/>
          <w:sz w:val="24"/>
          <w:szCs w:val="24"/>
        </w:rPr>
        <w:t>六、附件</w:t>
      </w:r>
    </w:p>
    <w:p w14:paraId="68520BB6">
      <w:pPr>
        <w:numPr>
          <w:ilvl w:val="0"/>
          <w:numId w:val="9"/>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附件一：</w:t>
      </w:r>
      <w:r>
        <w:rPr>
          <w:rFonts w:hint="eastAsia" w:ascii="仿宋" w:hAnsi="仿宋" w:eastAsia="仿宋"/>
          <w:sz w:val="24"/>
          <w:szCs w:val="24"/>
          <w:lang w:val="en-US" w:eastAsia="zh-CN"/>
        </w:rPr>
        <w:t>市场调研报价单</w:t>
      </w:r>
    </w:p>
    <w:p w14:paraId="2E983CDB">
      <w:pPr>
        <w:numPr>
          <w:ilvl w:val="0"/>
          <w:numId w:val="9"/>
        </w:numPr>
        <w:tabs>
          <w:tab w:val="left" w:pos="420"/>
        </w:tabs>
        <w:snapToGrid w:val="0"/>
        <w:spacing w:line="360" w:lineRule="auto"/>
        <w:rPr>
          <w:rFonts w:hint="eastAsia" w:ascii="仿宋" w:hAnsi="仿宋" w:eastAsia="仿宋"/>
          <w:sz w:val="24"/>
          <w:szCs w:val="24"/>
        </w:rPr>
      </w:pPr>
      <w:r>
        <w:rPr>
          <w:rFonts w:hint="eastAsia" w:ascii="仿宋" w:hAnsi="仿宋" w:eastAsia="仿宋"/>
          <w:sz w:val="24"/>
          <w:szCs w:val="24"/>
        </w:rPr>
        <w:t>附件二：中山大学肿瘤防治中心2027-2029年采购资料保管服务考核评分表</w:t>
      </w:r>
    </w:p>
    <w:bookmarkEnd w:id="6"/>
    <w:p w14:paraId="60BFE474">
      <w:pPr>
        <w:spacing w:line="360" w:lineRule="auto"/>
        <w:rPr>
          <w:rFonts w:hint="eastAsia" w:ascii="宋体" w:hAnsi="宋体" w:eastAsia="宋体"/>
          <w:bCs/>
          <w:szCs w:val="21"/>
          <w:lang w:val="zh-CN"/>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bCs/>
          <w:szCs w:val="21"/>
          <w:lang w:val="zh-CN"/>
        </w:rPr>
        <w:br w:type="page"/>
      </w:r>
    </w:p>
    <w:p w14:paraId="4ACE72D6">
      <w:pPr>
        <w:spacing w:line="360" w:lineRule="auto"/>
        <w:outlineLvl w:val="0"/>
        <w:rPr>
          <w:rFonts w:hint="default" w:ascii="宋体" w:hAnsi="宋体" w:eastAsia="宋体"/>
          <w:bCs/>
          <w:szCs w:val="21"/>
          <w:lang w:val="en-US" w:eastAsia="zh-CN"/>
        </w:rPr>
      </w:pPr>
      <w:r>
        <w:rPr>
          <w:rFonts w:hint="eastAsia" w:ascii="宋体" w:hAnsi="宋体" w:eastAsia="宋体"/>
          <w:bCs/>
          <w:szCs w:val="21"/>
          <w:lang w:val="en-US" w:eastAsia="zh-CN"/>
        </w:rPr>
        <w:t>附件一</w:t>
      </w:r>
    </w:p>
    <w:tbl>
      <w:tblPr>
        <w:tblStyle w:val="17"/>
        <w:tblW w:w="147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01"/>
        <w:gridCol w:w="1574"/>
        <w:gridCol w:w="2295"/>
        <w:gridCol w:w="1798"/>
        <w:gridCol w:w="6842"/>
      </w:tblGrid>
      <w:tr w14:paraId="674FF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147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DAF3">
            <w:pPr>
              <w:keepNext w:val="0"/>
              <w:keepLines w:val="0"/>
              <w:widowControl/>
              <w:suppressLineNumbers w:val="0"/>
              <w:spacing w:before="156" w:beforeLines="50" w:after="156" w:afterLines="50" w:line="360" w:lineRule="auto"/>
              <w:ind w:left="0" w:leftChars="0" w:right="-907" w:rightChars="-432" w:firstLine="0" w:firstLineChars="0"/>
              <w:jc w:val="center"/>
              <w:textAlignment w:val="auto"/>
              <w:outlineLvl w:val="0"/>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2027-2029年双院区档案托管服务项目市场调研报价单</w:t>
            </w:r>
          </w:p>
        </w:tc>
      </w:tr>
      <w:tr w14:paraId="041D5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jc w:val="center"/>
        </w:trPr>
        <w:tc>
          <w:tcPr>
            <w:tcW w:w="2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D021">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采购内容</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9C5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F9B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w:t>
            </w:r>
            <w:r>
              <w:rPr>
                <w:rFonts w:hint="eastAsia" w:ascii="仿宋" w:hAnsi="仿宋" w:eastAsia="仿宋" w:cs="仿宋"/>
                <w:b/>
                <w:bCs/>
                <w:i w:val="0"/>
                <w:iCs w:val="0"/>
                <w:color w:val="000000"/>
                <w:kern w:val="0"/>
                <w:sz w:val="24"/>
                <w:szCs w:val="24"/>
                <w:u w:val="none"/>
                <w:lang w:val="en-US" w:eastAsia="zh-CN" w:bidi="ar"/>
              </w:rPr>
              <w:br w:type="textWrapping"/>
            </w:r>
            <w:r>
              <w:rPr>
                <w:rFonts w:hint="eastAsia" w:ascii="仿宋" w:hAnsi="仿宋" w:eastAsia="仿宋" w:cs="仿宋"/>
                <w:b/>
                <w:bCs/>
                <w:i w:val="0"/>
                <w:iCs w:val="0"/>
                <w:color w:val="FF0000"/>
                <w:kern w:val="0"/>
                <w:sz w:val="24"/>
                <w:szCs w:val="24"/>
                <w:u w:val="none"/>
                <w:lang w:val="en-US" w:eastAsia="zh-CN" w:bidi="ar"/>
              </w:rPr>
              <w:t>（请逐项填写报价）</w:t>
            </w: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112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6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755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4E703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7" w:hRule="atLeast"/>
          <w:jc w:val="center"/>
        </w:trPr>
        <w:tc>
          <w:tcPr>
            <w:tcW w:w="2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BB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档案托管</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DC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一批：预计合同期内约13631箱</w:t>
            </w:r>
          </w:p>
        </w:tc>
        <w:tc>
          <w:tcPr>
            <w:tcW w:w="22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89F9F07">
            <w:pPr>
              <w:jc w:val="center"/>
              <w:rPr>
                <w:rFonts w:hint="eastAsia" w:ascii="仿宋" w:hAnsi="仿宋" w:eastAsia="仿宋" w:cs="仿宋"/>
                <w:i w:val="0"/>
                <w:iCs w:val="0"/>
                <w:color w:val="000000"/>
                <w:sz w:val="22"/>
                <w:szCs w:val="22"/>
                <w:u w:val="none"/>
              </w:rPr>
            </w:pP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E00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元/箱/年</w:t>
            </w:r>
          </w:p>
        </w:tc>
        <w:tc>
          <w:tcPr>
            <w:tcW w:w="6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01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服务期3年或采购金额达到50万元时止，以先到者为准。项目合同期内按实结算。报价包含档案搬迁（含首次搬入成交供应商仓库和合同服务期结束搬出成交供应商仓库至采购人新合作方的仓库）、现场查阅（不限次数）、档案调阅（每年20次以内免费）、档案往返送费、快递费、人工送达费、破损重新包装、车辆的仓储管理、库内移动等一切在实施过程中发生的相关费用。</w:t>
            </w:r>
          </w:p>
        </w:tc>
      </w:tr>
      <w:tr w14:paraId="204A0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2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5C1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档案调阅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（每年20次以外的调阅报价）</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9A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普通调阅含回收</w:t>
            </w:r>
          </w:p>
        </w:tc>
        <w:tc>
          <w:tcPr>
            <w:tcW w:w="22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12E6F4E">
            <w:pPr>
              <w:jc w:val="center"/>
              <w:rPr>
                <w:rFonts w:hint="eastAsia" w:ascii="仿宋" w:hAnsi="仿宋" w:eastAsia="仿宋" w:cs="仿宋"/>
                <w:i w:val="0"/>
                <w:iCs w:val="0"/>
                <w:color w:val="000000"/>
                <w:sz w:val="22"/>
                <w:szCs w:val="22"/>
                <w:u w:val="none"/>
              </w:rPr>
            </w:pP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71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元/箱/次</w:t>
            </w:r>
          </w:p>
        </w:tc>
        <w:tc>
          <w:tcPr>
            <w:tcW w:w="6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97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采购人前一天下午5点前下指令，成交供应商次日下午5点前送达。</w:t>
            </w:r>
          </w:p>
        </w:tc>
      </w:tr>
      <w:tr w14:paraId="758D4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2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A5F62">
            <w:pPr>
              <w:jc w:val="center"/>
              <w:rPr>
                <w:rFonts w:hint="eastAsia" w:ascii="仿宋" w:hAnsi="仿宋" w:eastAsia="仿宋" w:cs="仿宋"/>
                <w:i w:val="0"/>
                <w:iCs w:val="0"/>
                <w:color w:val="000000"/>
                <w:sz w:val="22"/>
                <w:szCs w:val="22"/>
                <w:u w:val="none"/>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7F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紧急调阅含回收</w:t>
            </w:r>
          </w:p>
        </w:tc>
        <w:tc>
          <w:tcPr>
            <w:tcW w:w="22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23E4CC8">
            <w:pPr>
              <w:jc w:val="center"/>
              <w:rPr>
                <w:rFonts w:hint="eastAsia" w:ascii="仿宋" w:hAnsi="仿宋" w:eastAsia="仿宋" w:cs="仿宋"/>
                <w:i w:val="0"/>
                <w:iCs w:val="0"/>
                <w:color w:val="000000"/>
                <w:sz w:val="22"/>
                <w:szCs w:val="22"/>
                <w:u w:val="none"/>
              </w:rPr>
            </w:pP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4D9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元/箱/次</w:t>
            </w:r>
          </w:p>
        </w:tc>
        <w:tc>
          <w:tcPr>
            <w:tcW w:w="6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27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自采购人下指令后，成交供应商在工作时间6小时内送达。</w:t>
            </w:r>
          </w:p>
        </w:tc>
      </w:tr>
      <w:tr w14:paraId="2932E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2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149A1">
            <w:pPr>
              <w:jc w:val="center"/>
              <w:rPr>
                <w:rFonts w:hint="eastAsia" w:ascii="仿宋" w:hAnsi="仿宋" w:eastAsia="仿宋" w:cs="仿宋"/>
                <w:i w:val="0"/>
                <w:iCs w:val="0"/>
                <w:color w:val="000000"/>
                <w:sz w:val="22"/>
                <w:szCs w:val="22"/>
                <w:u w:val="none"/>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F1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特殊调阅含回收</w:t>
            </w:r>
          </w:p>
        </w:tc>
        <w:tc>
          <w:tcPr>
            <w:tcW w:w="22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CFBDC54">
            <w:pPr>
              <w:jc w:val="center"/>
              <w:rPr>
                <w:rFonts w:hint="eastAsia" w:ascii="仿宋" w:hAnsi="仿宋" w:eastAsia="仿宋" w:cs="仿宋"/>
                <w:i w:val="0"/>
                <w:iCs w:val="0"/>
                <w:color w:val="000000"/>
                <w:sz w:val="22"/>
                <w:szCs w:val="22"/>
                <w:u w:val="none"/>
              </w:rPr>
            </w:pP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EF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元/箱/次</w:t>
            </w:r>
          </w:p>
        </w:tc>
        <w:tc>
          <w:tcPr>
            <w:tcW w:w="6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DA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国家法定节假日调出，自采购人下指令后，成交供应商在工作时间6小时内送达。</w:t>
            </w:r>
          </w:p>
        </w:tc>
      </w:tr>
      <w:tr w14:paraId="7E188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2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938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纸箱、锁条、条形码、防水袋</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F93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按实结算</w:t>
            </w:r>
          </w:p>
        </w:tc>
        <w:tc>
          <w:tcPr>
            <w:tcW w:w="22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3D4F9D8">
            <w:pPr>
              <w:jc w:val="center"/>
              <w:rPr>
                <w:rFonts w:hint="eastAsia" w:ascii="仿宋" w:hAnsi="仿宋" w:eastAsia="仿宋" w:cs="仿宋"/>
                <w:i w:val="0"/>
                <w:iCs w:val="0"/>
                <w:color w:val="000000"/>
                <w:sz w:val="22"/>
                <w:szCs w:val="22"/>
                <w:u w:val="none"/>
              </w:rPr>
            </w:pP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05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纸箱：元/个</w:t>
            </w:r>
          </w:p>
        </w:tc>
        <w:tc>
          <w:tcPr>
            <w:tcW w:w="68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1B1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纸箱规格：长：≥45cm、宽：≥35cm、高：≥25cm、厚度≥3mm，至少三层板，空箱测压≥3400N，耐破强度≥2000kPa，边压强度≥7000N/m，滴水面纸3分钟不出现渗漏。</w:t>
            </w:r>
          </w:p>
        </w:tc>
      </w:tr>
      <w:tr w14:paraId="58383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2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020A5">
            <w:pPr>
              <w:jc w:val="center"/>
              <w:rPr>
                <w:rFonts w:hint="eastAsia" w:ascii="仿宋" w:hAnsi="仿宋" w:eastAsia="仿宋" w:cs="仿宋"/>
                <w:i w:val="0"/>
                <w:iCs w:val="0"/>
                <w:color w:val="000000"/>
                <w:sz w:val="22"/>
                <w:szCs w:val="22"/>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77F2B">
            <w:pPr>
              <w:jc w:val="center"/>
              <w:rPr>
                <w:rFonts w:hint="eastAsia" w:ascii="仿宋" w:hAnsi="仿宋" w:eastAsia="仿宋" w:cs="仿宋"/>
                <w:i w:val="0"/>
                <w:iCs w:val="0"/>
                <w:color w:val="000000"/>
                <w:sz w:val="22"/>
                <w:szCs w:val="22"/>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07E045C">
            <w:pPr>
              <w:jc w:val="center"/>
              <w:rPr>
                <w:rFonts w:hint="eastAsia" w:ascii="仿宋" w:hAnsi="仿宋" w:eastAsia="仿宋" w:cs="仿宋"/>
                <w:i w:val="0"/>
                <w:iCs w:val="0"/>
                <w:strike/>
                <w:color w:val="000000"/>
                <w:sz w:val="22"/>
                <w:szCs w:val="22"/>
              </w:rPr>
            </w:pP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5D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锁条：</w:t>
            </w:r>
            <w:bookmarkStart w:id="8" w:name="_GoBack"/>
            <w:bookmarkEnd w:id="8"/>
            <w:r>
              <w:rPr>
                <w:rFonts w:hint="eastAsia" w:ascii="仿宋" w:hAnsi="仿宋" w:eastAsia="仿宋" w:cs="仿宋"/>
                <w:i w:val="0"/>
                <w:iCs w:val="0"/>
                <w:color w:val="000000"/>
                <w:kern w:val="0"/>
                <w:sz w:val="22"/>
                <w:szCs w:val="22"/>
                <w:u w:val="none"/>
                <w:lang w:val="en-US" w:eastAsia="zh-CN" w:bidi="ar"/>
              </w:rPr>
              <w:t>元/个</w:t>
            </w:r>
          </w:p>
        </w:tc>
        <w:tc>
          <w:tcPr>
            <w:tcW w:w="6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069F7">
            <w:pPr>
              <w:jc w:val="center"/>
              <w:rPr>
                <w:rFonts w:hint="eastAsia" w:ascii="仿宋" w:hAnsi="仿宋" w:eastAsia="仿宋" w:cs="仿宋"/>
                <w:i w:val="0"/>
                <w:iCs w:val="0"/>
                <w:color w:val="000000"/>
                <w:sz w:val="22"/>
                <w:szCs w:val="22"/>
                <w:u w:val="none"/>
              </w:rPr>
            </w:pPr>
          </w:p>
        </w:tc>
      </w:tr>
      <w:tr w14:paraId="43A58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2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14CE8">
            <w:pPr>
              <w:jc w:val="center"/>
              <w:rPr>
                <w:rFonts w:hint="eastAsia" w:ascii="仿宋" w:hAnsi="仿宋" w:eastAsia="仿宋" w:cs="仿宋"/>
                <w:i w:val="0"/>
                <w:iCs w:val="0"/>
                <w:color w:val="000000"/>
                <w:sz w:val="22"/>
                <w:szCs w:val="22"/>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97E44">
            <w:pPr>
              <w:jc w:val="center"/>
              <w:rPr>
                <w:rFonts w:hint="eastAsia" w:ascii="仿宋" w:hAnsi="仿宋" w:eastAsia="仿宋" w:cs="仿宋"/>
                <w:i w:val="0"/>
                <w:iCs w:val="0"/>
                <w:color w:val="000000"/>
                <w:sz w:val="22"/>
                <w:szCs w:val="22"/>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A76C347">
            <w:pPr>
              <w:jc w:val="center"/>
              <w:rPr>
                <w:rFonts w:hint="eastAsia" w:ascii="仿宋" w:hAnsi="仿宋" w:eastAsia="仿宋" w:cs="仿宋"/>
                <w:i w:val="0"/>
                <w:iCs w:val="0"/>
                <w:strike/>
                <w:color w:val="000000"/>
                <w:sz w:val="22"/>
                <w:szCs w:val="22"/>
              </w:rPr>
            </w:pP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2C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条形码：元/个</w:t>
            </w:r>
          </w:p>
        </w:tc>
        <w:tc>
          <w:tcPr>
            <w:tcW w:w="6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C2A86">
            <w:pPr>
              <w:jc w:val="center"/>
              <w:rPr>
                <w:rFonts w:hint="eastAsia" w:ascii="仿宋" w:hAnsi="仿宋" w:eastAsia="仿宋" w:cs="仿宋"/>
                <w:i w:val="0"/>
                <w:iCs w:val="0"/>
                <w:color w:val="000000"/>
                <w:sz w:val="22"/>
                <w:szCs w:val="22"/>
                <w:u w:val="none"/>
              </w:rPr>
            </w:pPr>
          </w:p>
        </w:tc>
      </w:tr>
      <w:tr w14:paraId="31D27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2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4C001">
            <w:pPr>
              <w:jc w:val="center"/>
              <w:rPr>
                <w:rFonts w:hint="eastAsia" w:ascii="仿宋" w:hAnsi="仿宋" w:eastAsia="仿宋" w:cs="仿宋"/>
                <w:i w:val="0"/>
                <w:iCs w:val="0"/>
                <w:color w:val="000000"/>
                <w:sz w:val="22"/>
                <w:szCs w:val="22"/>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1D58E">
            <w:pPr>
              <w:jc w:val="center"/>
              <w:rPr>
                <w:rFonts w:hint="eastAsia" w:ascii="仿宋" w:hAnsi="仿宋" w:eastAsia="仿宋" w:cs="仿宋"/>
                <w:i w:val="0"/>
                <w:iCs w:val="0"/>
                <w:color w:val="000000"/>
                <w:sz w:val="22"/>
                <w:szCs w:val="22"/>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3724056">
            <w:pPr>
              <w:jc w:val="center"/>
              <w:rPr>
                <w:rFonts w:hint="eastAsia" w:ascii="仿宋" w:hAnsi="仿宋" w:eastAsia="仿宋" w:cs="仿宋"/>
                <w:i w:val="0"/>
                <w:iCs w:val="0"/>
                <w:strike/>
                <w:color w:val="000000"/>
                <w:sz w:val="22"/>
                <w:szCs w:val="22"/>
              </w:rPr>
            </w:pP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4A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防水袋：元/个</w:t>
            </w:r>
          </w:p>
        </w:tc>
        <w:tc>
          <w:tcPr>
            <w:tcW w:w="6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5C1A0">
            <w:pPr>
              <w:jc w:val="center"/>
              <w:rPr>
                <w:rFonts w:hint="eastAsia" w:ascii="仿宋" w:hAnsi="仿宋" w:eastAsia="仿宋" w:cs="仿宋"/>
                <w:i w:val="0"/>
                <w:iCs w:val="0"/>
                <w:color w:val="000000"/>
                <w:sz w:val="22"/>
                <w:szCs w:val="22"/>
                <w:u w:val="none"/>
              </w:rPr>
            </w:pPr>
          </w:p>
        </w:tc>
      </w:tr>
      <w:tr w14:paraId="3E88A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jc w:val="center"/>
        </w:trPr>
        <w:tc>
          <w:tcPr>
            <w:tcW w:w="147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D4C4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能否以APP或小程序的形式向甲方提供甲方寄存资料的远程实时监控画面： □是     □否</w:t>
            </w:r>
          </w:p>
        </w:tc>
      </w:tr>
      <w:tr w14:paraId="44EDC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4710" w:type="dxa"/>
            <w:gridSpan w:val="5"/>
            <w:tcBorders>
              <w:top w:val="nil"/>
              <w:left w:val="nil"/>
              <w:bottom w:val="nil"/>
              <w:right w:val="nil"/>
            </w:tcBorders>
            <w:shd w:val="clear" w:color="auto" w:fill="auto"/>
            <w:noWrap/>
            <w:vAlign w:val="center"/>
          </w:tcPr>
          <w:p w14:paraId="263C4BE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服务费以上述对应单价*实际服务量结算，每年的服务量以合同双方书面确认的量为准。</w:t>
            </w:r>
          </w:p>
        </w:tc>
      </w:tr>
      <w:tr w14:paraId="4EE06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2201" w:type="dxa"/>
            <w:tcBorders>
              <w:top w:val="nil"/>
              <w:left w:val="nil"/>
              <w:bottom w:val="nil"/>
              <w:right w:val="nil"/>
            </w:tcBorders>
            <w:shd w:val="clear" w:color="auto" w:fill="auto"/>
            <w:noWrap/>
            <w:vAlign w:val="center"/>
          </w:tcPr>
          <w:p w14:paraId="237047F6">
            <w:pPr>
              <w:rPr>
                <w:rFonts w:hint="eastAsia" w:ascii="宋体" w:hAnsi="宋体" w:eastAsia="宋体" w:cs="宋体"/>
                <w:i w:val="0"/>
                <w:iCs w:val="0"/>
                <w:color w:val="000000"/>
                <w:sz w:val="22"/>
                <w:szCs w:val="22"/>
                <w:u w:val="none"/>
              </w:rPr>
            </w:pPr>
          </w:p>
        </w:tc>
        <w:tc>
          <w:tcPr>
            <w:tcW w:w="1574" w:type="dxa"/>
            <w:tcBorders>
              <w:top w:val="nil"/>
              <w:left w:val="nil"/>
              <w:bottom w:val="nil"/>
              <w:right w:val="nil"/>
            </w:tcBorders>
            <w:shd w:val="clear" w:color="auto" w:fill="auto"/>
            <w:noWrap/>
            <w:vAlign w:val="center"/>
          </w:tcPr>
          <w:p w14:paraId="0A8D37E2">
            <w:pPr>
              <w:rPr>
                <w:rFonts w:hint="eastAsia" w:ascii="宋体" w:hAnsi="宋体" w:eastAsia="宋体" w:cs="宋体"/>
                <w:i w:val="0"/>
                <w:iCs w:val="0"/>
                <w:color w:val="000000"/>
                <w:sz w:val="22"/>
                <w:szCs w:val="22"/>
                <w:u w:val="none"/>
              </w:rPr>
            </w:pPr>
          </w:p>
        </w:tc>
        <w:tc>
          <w:tcPr>
            <w:tcW w:w="2295" w:type="dxa"/>
            <w:tcBorders>
              <w:top w:val="nil"/>
              <w:left w:val="nil"/>
              <w:bottom w:val="nil"/>
              <w:right w:val="nil"/>
            </w:tcBorders>
            <w:shd w:val="clear" w:color="auto" w:fill="auto"/>
            <w:noWrap/>
            <w:vAlign w:val="center"/>
          </w:tcPr>
          <w:p w14:paraId="6892E8FE">
            <w:pPr>
              <w:rPr>
                <w:rFonts w:hint="eastAsia" w:ascii="宋体" w:hAnsi="宋体" w:eastAsia="宋体" w:cs="宋体"/>
                <w:i w:val="0"/>
                <w:iCs w:val="0"/>
                <w:color w:val="000000"/>
                <w:sz w:val="22"/>
                <w:szCs w:val="22"/>
                <w:u w:val="none"/>
              </w:rPr>
            </w:pPr>
          </w:p>
        </w:tc>
        <w:tc>
          <w:tcPr>
            <w:tcW w:w="1798" w:type="dxa"/>
            <w:tcBorders>
              <w:top w:val="nil"/>
              <w:left w:val="nil"/>
              <w:bottom w:val="nil"/>
              <w:right w:val="nil"/>
            </w:tcBorders>
            <w:shd w:val="clear" w:color="auto" w:fill="auto"/>
            <w:noWrap/>
            <w:vAlign w:val="center"/>
          </w:tcPr>
          <w:p w14:paraId="01D6A97F">
            <w:pPr>
              <w:rPr>
                <w:rFonts w:hint="eastAsia" w:ascii="宋体" w:hAnsi="宋体" w:eastAsia="宋体" w:cs="宋体"/>
                <w:i w:val="0"/>
                <w:iCs w:val="0"/>
                <w:color w:val="000000"/>
                <w:sz w:val="22"/>
                <w:szCs w:val="22"/>
                <w:u w:val="none"/>
              </w:rPr>
            </w:pPr>
          </w:p>
        </w:tc>
        <w:tc>
          <w:tcPr>
            <w:tcW w:w="6842" w:type="dxa"/>
            <w:tcBorders>
              <w:top w:val="nil"/>
              <w:left w:val="nil"/>
              <w:bottom w:val="nil"/>
              <w:right w:val="nil"/>
            </w:tcBorders>
            <w:shd w:val="clear" w:color="auto" w:fill="auto"/>
            <w:noWrap/>
            <w:vAlign w:val="center"/>
          </w:tcPr>
          <w:p w14:paraId="207F78C1">
            <w:pPr>
              <w:keepNext w:val="0"/>
              <w:keepLines w:val="0"/>
              <w:widowControl/>
              <w:suppressLineNumbers w:val="0"/>
              <w:ind w:firstLineChars="200"/>
              <w:jc w:val="left"/>
              <w:textAlignment w:val="center"/>
              <w:rPr>
                <w:rFonts w:hint="eastAsia" w:ascii="仿宋" w:hAnsi="仿宋" w:eastAsia="仿宋" w:cs="仿宋"/>
                <w:i w:val="0"/>
                <w:iCs w:val="0"/>
                <w:color w:val="000000"/>
                <w:sz w:val="24"/>
                <w:szCs w:val="24"/>
                <w:u w:val="none"/>
              </w:rPr>
            </w:pPr>
            <w:r>
              <w:rPr>
                <w:rStyle w:val="48"/>
                <w:lang w:val="en-US" w:eastAsia="zh-CN" w:bidi="ar"/>
              </w:rPr>
              <w:t>公司名称（盖章）：</w:t>
            </w:r>
            <w:r>
              <w:rPr>
                <w:rStyle w:val="49"/>
                <w:lang w:val="en-US" w:eastAsia="zh-CN" w:bidi="ar"/>
              </w:rPr>
              <w:t xml:space="preserve">                       </w:t>
            </w:r>
          </w:p>
        </w:tc>
      </w:tr>
      <w:tr w14:paraId="632B3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jc w:val="center"/>
        </w:trPr>
        <w:tc>
          <w:tcPr>
            <w:tcW w:w="2201" w:type="dxa"/>
            <w:tcBorders>
              <w:top w:val="nil"/>
              <w:left w:val="nil"/>
              <w:bottom w:val="nil"/>
              <w:right w:val="nil"/>
            </w:tcBorders>
            <w:shd w:val="clear" w:color="auto" w:fill="auto"/>
            <w:noWrap/>
            <w:vAlign w:val="center"/>
          </w:tcPr>
          <w:p w14:paraId="139D054E">
            <w:pPr>
              <w:rPr>
                <w:rFonts w:hint="eastAsia" w:ascii="宋体" w:hAnsi="宋体" w:eastAsia="宋体" w:cs="宋体"/>
                <w:i w:val="0"/>
                <w:iCs w:val="0"/>
                <w:color w:val="000000"/>
                <w:sz w:val="22"/>
                <w:szCs w:val="22"/>
                <w:u w:val="none"/>
              </w:rPr>
            </w:pPr>
          </w:p>
        </w:tc>
        <w:tc>
          <w:tcPr>
            <w:tcW w:w="1574" w:type="dxa"/>
            <w:tcBorders>
              <w:top w:val="nil"/>
              <w:left w:val="nil"/>
              <w:bottom w:val="nil"/>
              <w:right w:val="nil"/>
            </w:tcBorders>
            <w:shd w:val="clear" w:color="auto" w:fill="auto"/>
            <w:noWrap/>
            <w:vAlign w:val="center"/>
          </w:tcPr>
          <w:p w14:paraId="3996118D">
            <w:pPr>
              <w:rPr>
                <w:rFonts w:hint="eastAsia" w:ascii="宋体" w:hAnsi="宋体" w:eastAsia="宋体" w:cs="宋体"/>
                <w:i w:val="0"/>
                <w:iCs w:val="0"/>
                <w:color w:val="000000"/>
                <w:sz w:val="22"/>
                <w:szCs w:val="22"/>
                <w:u w:val="none"/>
              </w:rPr>
            </w:pPr>
          </w:p>
        </w:tc>
        <w:tc>
          <w:tcPr>
            <w:tcW w:w="2295" w:type="dxa"/>
            <w:tcBorders>
              <w:top w:val="nil"/>
              <w:left w:val="nil"/>
              <w:bottom w:val="nil"/>
              <w:right w:val="nil"/>
            </w:tcBorders>
            <w:shd w:val="clear" w:color="auto" w:fill="auto"/>
            <w:noWrap/>
            <w:vAlign w:val="center"/>
          </w:tcPr>
          <w:p w14:paraId="36C5CEB2">
            <w:pPr>
              <w:rPr>
                <w:rFonts w:hint="eastAsia" w:ascii="宋体" w:hAnsi="宋体" w:eastAsia="宋体" w:cs="宋体"/>
                <w:i w:val="0"/>
                <w:iCs w:val="0"/>
                <w:color w:val="000000"/>
                <w:sz w:val="22"/>
                <w:szCs w:val="22"/>
                <w:u w:val="none"/>
              </w:rPr>
            </w:pPr>
          </w:p>
        </w:tc>
        <w:tc>
          <w:tcPr>
            <w:tcW w:w="1798" w:type="dxa"/>
            <w:tcBorders>
              <w:top w:val="nil"/>
              <w:left w:val="nil"/>
              <w:bottom w:val="nil"/>
              <w:right w:val="nil"/>
            </w:tcBorders>
            <w:shd w:val="clear" w:color="auto" w:fill="auto"/>
            <w:noWrap/>
            <w:vAlign w:val="center"/>
          </w:tcPr>
          <w:p w14:paraId="2DF1EDD5">
            <w:pPr>
              <w:rPr>
                <w:rFonts w:hint="eastAsia" w:ascii="宋体" w:hAnsi="宋体" w:eastAsia="宋体" w:cs="宋体"/>
                <w:i w:val="0"/>
                <w:iCs w:val="0"/>
                <w:color w:val="000000"/>
                <w:sz w:val="22"/>
                <w:szCs w:val="22"/>
                <w:u w:val="none"/>
              </w:rPr>
            </w:pPr>
          </w:p>
        </w:tc>
        <w:tc>
          <w:tcPr>
            <w:tcW w:w="6842" w:type="dxa"/>
            <w:tcBorders>
              <w:top w:val="nil"/>
              <w:left w:val="nil"/>
              <w:bottom w:val="nil"/>
              <w:right w:val="nil"/>
            </w:tcBorders>
            <w:shd w:val="clear" w:color="auto" w:fill="auto"/>
            <w:noWrap/>
            <w:vAlign w:val="center"/>
          </w:tcPr>
          <w:p w14:paraId="47C1E44F">
            <w:pPr>
              <w:keepNext w:val="0"/>
              <w:keepLines w:val="0"/>
              <w:widowControl/>
              <w:suppressLineNumbers w:val="0"/>
              <w:ind w:firstLineChars="200"/>
              <w:jc w:val="left"/>
              <w:textAlignment w:val="center"/>
              <w:rPr>
                <w:rFonts w:hint="eastAsia" w:ascii="仿宋" w:hAnsi="仿宋" w:eastAsia="仿宋" w:cs="仿宋"/>
                <w:i w:val="0"/>
                <w:iCs w:val="0"/>
                <w:color w:val="000000"/>
                <w:sz w:val="24"/>
                <w:szCs w:val="24"/>
                <w:u w:val="none"/>
              </w:rPr>
            </w:pPr>
            <w:r>
              <w:rPr>
                <w:rStyle w:val="48"/>
                <w:lang w:val="en-US" w:eastAsia="zh-CN" w:bidi="ar"/>
              </w:rPr>
              <w:t>联系人与电话：</w:t>
            </w:r>
            <w:r>
              <w:rPr>
                <w:rStyle w:val="49"/>
                <w:lang w:val="en-US" w:eastAsia="zh-CN" w:bidi="ar"/>
              </w:rPr>
              <w:t xml:space="preserve">                           </w:t>
            </w:r>
          </w:p>
        </w:tc>
      </w:tr>
      <w:tr w14:paraId="074B5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2201" w:type="dxa"/>
            <w:tcBorders>
              <w:top w:val="nil"/>
              <w:left w:val="nil"/>
              <w:bottom w:val="nil"/>
              <w:right w:val="nil"/>
            </w:tcBorders>
            <w:shd w:val="clear" w:color="auto" w:fill="auto"/>
            <w:noWrap/>
            <w:vAlign w:val="center"/>
          </w:tcPr>
          <w:p w14:paraId="3DB51826">
            <w:pPr>
              <w:rPr>
                <w:rFonts w:hint="eastAsia" w:ascii="宋体" w:hAnsi="宋体" w:eastAsia="宋体" w:cs="宋体"/>
                <w:i w:val="0"/>
                <w:iCs w:val="0"/>
                <w:color w:val="000000"/>
                <w:sz w:val="22"/>
                <w:szCs w:val="22"/>
                <w:u w:val="none"/>
              </w:rPr>
            </w:pPr>
          </w:p>
        </w:tc>
        <w:tc>
          <w:tcPr>
            <w:tcW w:w="1574" w:type="dxa"/>
            <w:tcBorders>
              <w:top w:val="nil"/>
              <w:left w:val="nil"/>
              <w:bottom w:val="nil"/>
              <w:right w:val="nil"/>
            </w:tcBorders>
            <w:shd w:val="clear" w:color="auto" w:fill="auto"/>
            <w:noWrap/>
            <w:vAlign w:val="center"/>
          </w:tcPr>
          <w:p w14:paraId="22B37609">
            <w:pPr>
              <w:rPr>
                <w:rFonts w:hint="eastAsia" w:ascii="宋体" w:hAnsi="宋体" w:eastAsia="宋体" w:cs="宋体"/>
                <w:i w:val="0"/>
                <w:iCs w:val="0"/>
                <w:color w:val="000000"/>
                <w:sz w:val="22"/>
                <w:szCs w:val="22"/>
                <w:u w:val="none"/>
              </w:rPr>
            </w:pPr>
          </w:p>
        </w:tc>
        <w:tc>
          <w:tcPr>
            <w:tcW w:w="2295" w:type="dxa"/>
            <w:tcBorders>
              <w:top w:val="nil"/>
              <w:left w:val="nil"/>
              <w:bottom w:val="nil"/>
              <w:right w:val="nil"/>
            </w:tcBorders>
            <w:shd w:val="clear" w:color="auto" w:fill="auto"/>
            <w:noWrap/>
            <w:vAlign w:val="center"/>
          </w:tcPr>
          <w:p w14:paraId="3070A4DA">
            <w:pPr>
              <w:rPr>
                <w:rFonts w:hint="eastAsia" w:ascii="宋体" w:hAnsi="宋体" w:eastAsia="宋体" w:cs="宋体"/>
                <w:i w:val="0"/>
                <w:iCs w:val="0"/>
                <w:color w:val="000000"/>
                <w:sz w:val="22"/>
                <w:szCs w:val="22"/>
                <w:u w:val="none"/>
              </w:rPr>
            </w:pPr>
          </w:p>
        </w:tc>
        <w:tc>
          <w:tcPr>
            <w:tcW w:w="1798" w:type="dxa"/>
            <w:tcBorders>
              <w:top w:val="nil"/>
              <w:left w:val="nil"/>
              <w:bottom w:val="nil"/>
              <w:right w:val="nil"/>
            </w:tcBorders>
            <w:shd w:val="clear" w:color="auto" w:fill="auto"/>
            <w:noWrap/>
            <w:vAlign w:val="center"/>
          </w:tcPr>
          <w:p w14:paraId="4FEEA274">
            <w:pPr>
              <w:rPr>
                <w:rFonts w:hint="eastAsia" w:ascii="宋体" w:hAnsi="宋体" w:eastAsia="宋体" w:cs="宋体"/>
                <w:i w:val="0"/>
                <w:iCs w:val="0"/>
                <w:color w:val="000000"/>
                <w:sz w:val="22"/>
                <w:szCs w:val="22"/>
                <w:u w:val="none"/>
              </w:rPr>
            </w:pPr>
          </w:p>
        </w:tc>
        <w:tc>
          <w:tcPr>
            <w:tcW w:w="6842" w:type="dxa"/>
            <w:tcBorders>
              <w:top w:val="nil"/>
              <w:left w:val="nil"/>
              <w:bottom w:val="nil"/>
              <w:right w:val="nil"/>
            </w:tcBorders>
            <w:shd w:val="clear" w:color="auto" w:fill="auto"/>
            <w:noWrap/>
            <w:vAlign w:val="center"/>
          </w:tcPr>
          <w:p w14:paraId="5DA3A761">
            <w:pPr>
              <w:keepNext w:val="0"/>
              <w:keepLines w:val="0"/>
              <w:widowControl/>
              <w:suppressLineNumbers w:val="0"/>
              <w:ind w:firstLineChars="200"/>
              <w:jc w:val="left"/>
              <w:textAlignment w:val="center"/>
              <w:rPr>
                <w:rFonts w:hint="eastAsia" w:ascii="仿宋" w:hAnsi="仿宋" w:eastAsia="仿宋" w:cs="仿宋"/>
                <w:i w:val="0"/>
                <w:iCs w:val="0"/>
                <w:color w:val="000000"/>
                <w:sz w:val="24"/>
                <w:szCs w:val="24"/>
                <w:u w:val="none"/>
              </w:rPr>
            </w:pPr>
            <w:r>
              <w:rPr>
                <w:rStyle w:val="48"/>
                <w:lang w:val="en-US" w:eastAsia="zh-CN" w:bidi="ar"/>
              </w:rPr>
              <w:t>日        期：</w:t>
            </w:r>
            <w:r>
              <w:rPr>
                <w:rStyle w:val="49"/>
                <w:lang w:val="en-US" w:eastAsia="zh-CN" w:bidi="ar"/>
              </w:rPr>
              <w:t xml:space="preserve">                           </w:t>
            </w:r>
          </w:p>
        </w:tc>
      </w:tr>
    </w:tbl>
    <w:p w14:paraId="3AB087BB">
      <w:pPr>
        <w:spacing w:before="156" w:beforeLines="50" w:after="156" w:afterLines="50" w:line="360" w:lineRule="auto"/>
        <w:ind w:left="-708" w:leftChars="-337" w:right="-907" w:rightChars="-432"/>
        <w:jc w:val="left"/>
        <w:rPr>
          <w:rFonts w:hint="eastAsia" w:ascii="黑体" w:hAnsi="黑体" w:eastAsia="黑体"/>
          <w:bCs/>
          <w:sz w:val="22"/>
          <w:szCs w:val="15"/>
        </w:rPr>
        <w:sectPr>
          <w:pgSz w:w="16838" w:h="11906" w:orient="landscape"/>
          <w:pgMar w:top="720" w:right="720" w:bottom="720" w:left="720" w:header="851" w:footer="992" w:gutter="0"/>
          <w:pgNumType w:fmt="numberInDash"/>
          <w:cols w:space="425" w:num="1"/>
          <w:docGrid w:type="lines" w:linePitch="312" w:charSpace="0"/>
        </w:sectPr>
      </w:pPr>
      <w:r>
        <w:rPr>
          <w:rFonts w:hint="eastAsia" w:ascii="黑体" w:hAnsi="黑体" w:eastAsia="黑体"/>
          <w:bCs/>
          <w:sz w:val="22"/>
          <w:szCs w:val="15"/>
        </w:rPr>
        <w:br w:type="page"/>
      </w:r>
    </w:p>
    <w:p w14:paraId="4DD7B15C">
      <w:pPr>
        <w:spacing w:before="156" w:beforeLines="50" w:after="156" w:afterLines="50" w:line="360" w:lineRule="auto"/>
        <w:ind w:left="-708" w:leftChars="-337" w:right="-907" w:rightChars="-432"/>
        <w:jc w:val="left"/>
        <w:outlineLvl w:val="0"/>
        <w:rPr>
          <w:rFonts w:hint="eastAsia" w:ascii="黑体" w:hAnsi="黑体" w:eastAsia="黑体"/>
          <w:bCs/>
          <w:sz w:val="22"/>
          <w:szCs w:val="15"/>
        </w:rPr>
      </w:pPr>
      <w:r>
        <w:rPr>
          <w:rFonts w:hint="eastAsia" w:ascii="黑体" w:hAnsi="黑体" w:eastAsia="黑体"/>
          <w:bCs/>
          <w:sz w:val="22"/>
          <w:szCs w:val="15"/>
        </w:rPr>
        <w:t>附件二</w:t>
      </w:r>
    </w:p>
    <w:p w14:paraId="66BC05B0">
      <w:pPr>
        <w:spacing w:before="156" w:beforeLines="50" w:after="156" w:afterLines="50" w:line="360" w:lineRule="auto"/>
        <w:ind w:left="-708" w:leftChars="-337" w:right="-907" w:rightChars="-432"/>
        <w:jc w:val="center"/>
        <w:outlineLvl w:val="9"/>
        <w:rPr>
          <w:rFonts w:hint="eastAsia" w:ascii="黑体" w:hAnsi="黑体" w:eastAsia="黑体"/>
          <w:b/>
          <w:sz w:val="28"/>
          <w:szCs w:val="18"/>
        </w:rPr>
      </w:pPr>
      <w:r>
        <w:rPr>
          <w:rFonts w:hint="eastAsia" w:ascii="黑体" w:hAnsi="黑体" w:eastAsia="黑体"/>
          <w:b/>
          <w:sz w:val="28"/>
          <w:szCs w:val="18"/>
        </w:rPr>
        <w:t>中山大学肿瘤防治中心2027-2029年采购</w:t>
      </w:r>
      <w:bookmarkStart w:id="7" w:name="_Hlk140159260"/>
      <w:r>
        <w:rPr>
          <w:rFonts w:hint="eastAsia" w:ascii="黑体" w:hAnsi="黑体" w:eastAsia="黑体"/>
          <w:b/>
          <w:sz w:val="28"/>
          <w:szCs w:val="18"/>
        </w:rPr>
        <w:t>资料保管服务考核评分表</w:t>
      </w:r>
      <w:bookmarkEnd w:id="7"/>
    </w:p>
    <w:p w14:paraId="56332706">
      <w:pPr>
        <w:spacing w:line="360" w:lineRule="auto"/>
        <w:ind w:left="-567" w:leftChars="-270" w:right="-764" w:rightChars="-364"/>
        <w:jc w:val="center"/>
        <w:rPr>
          <w:rFonts w:hint="eastAsia" w:ascii="宋体" w:hAnsi="宋体" w:eastAsia="宋体"/>
          <w:szCs w:val="21"/>
        </w:rPr>
      </w:pPr>
      <w:r>
        <w:rPr>
          <w:rFonts w:hint="eastAsia" w:ascii="宋体" w:hAnsi="宋体" w:eastAsia="宋体"/>
          <w:szCs w:val="21"/>
        </w:rPr>
        <w:t>考核公司：</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zCs w:val="21"/>
        </w:rPr>
        <w:t xml:space="preserve">             </w:t>
      </w:r>
      <w:r>
        <w:rPr>
          <w:rFonts w:hint="eastAsia" w:ascii="宋体" w:hAnsi="宋体" w:eastAsia="宋体"/>
          <w:szCs w:val="21"/>
        </w:rPr>
        <w:t>考核时间：</w:t>
      </w:r>
      <w:r>
        <w:rPr>
          <w:rFonts w:ascii="宋体" w:hAnsi="宋体" w:eastAsia="宋体"/>
          <w:szCs w:val="21"/>
          <w:u w:val="single"/>
        </w:rPr>
        <w:t xml:space="preserve">              </w:t>
      </w:r>
      <w:r>
        <w:rPr>
          <w:rFonts w:hint="eastAsia" w:ascii="宋体" w:hAnsi="宋体" w:eastAsia="宋体"/>
          <w:szCs w:val="21"/>
        </w:rPr>
        <w:t>年度</w:t>
      </w:r>
    </w:p>
    <w:tbl>
      <w:tblPr>
        <w:tblStyle w:val="40"/>
        <w:tblW w:w="8504"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840"/>
        <w:gridCol w:w="3180"/>
        <w:gridCol w:w="2911"/>
        <w:gridCol w:w="995"/>
      </w:tblGrid>
      <w:tr w14:paraId="7E82B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578" w:type="dxa"/>
            <w:tcBorders>
              <w:top w:val="single" w:color="000000" w:sz="2" w:space="0"/>
              <w:left w:val="single" w:color="000000" w:sz="2" w:space="0"/>
              <w:bottom w:val="single" w:color="000000" w:sz="2" w:space="0"/>
              <w:right w:val="single" w:color="000000" w:sz="2" w:space="0"/>
            </w:tcBorders>
            <w:vAlign w:val="center"/>
          </w:tcPr>
          <w:p w14:paraId="036CF537">
            <w:pPr>
              <w:widowControl/>
              <w:kinsoku w:val="0"/>
              <w:autoSpaceDE w:val="0"/>
              <w:autoSpaceDN w:val="0"/>
              <w:adjustRightInd w:val="0"/>
              <w:snapToGrid w:val="0"/>
              <w:spacing w:before="84" w:line="360" w:lineRule="auto"/>
              <w:ind w:left="81"/>
              <w:jc w:val="center"/>
              <w:textAlignment w:val="baseline"/>
              <w:rPr>
                <w:rFonts w:hint="eastAsia" w:ascii="宋体" w:hAnsi="宋体" w:eastAsia="宋体"/>
                <w:color w:val="000000"/>
                <w:kern w:val="0"/>
                <w:sz w:val="20"/>
                <w:szCs w:val="21"/>
              </w:rPr>
            </w:pPr>
            <w:r>
              <w:rPr>
                <w:rFonts w:hint="eastAsia" w:ascii="宋体" w:hAnsi="宋体" w:eastAsia="宋体"/>
                <w:b/>
                <w:bCs/>
                <w:color w:val="000000"/>
                <w:spacing w:val="-4"/>
                <w:kern w:val="0"/>
                <w:sz w:val="20"/>
                <w:szCs w:val="21"/>
              </w:rPr>
              <w:t>序号</w:t>
            </w:r>
          </w:p>
        </w:tc>
        <w:tc>
          <w:tcPr>
            <w:tcW w:w="840" w:type="dxa"/>
            <w:tcBorders>
              <w:top w:val="single" w:color="000000" w:sz="2" w:space="0"/>
              <w:left w:val="single" w:color="000000" w:sz="2" w:space="0"/>
              <w:bottom w:val="single" w:color="000000" w:sz="2" w:space="0"/>
              <w:right w:val="single" w:color="000000" w:sz="2" w:space="0"/>
            </w:tcBorders>
            <w:vAlign w:val="center"/>
          </w:tcPr>
          <w:p w14:paraId="0607DEE7">
            <w:pPr>
              <w:widowControl/>
              <w:kinsoku w:val="0"/>
              <w:autoSpaceDE w:val="0"/>
              <w:autoSpaceDN w:val="0"/>
              <w:adjustRightInd w:val="0"/>
              <w:snapToGrid w:val="0"/>
              <w:spacing w:before="84" w:line="360" w:lineRule="auto"/>
              <w:jc w:val="center"/>
              <w:textAlignment w:val="baseline"/>
              <w:rPr>
                <w:rFonts w:hint="eastAsia" w:ascii="宋体" w:hAnsi="宋体" w:eastAsia="宋体"/>
                <w:color w:val="000000"/>
                <w:kern w:val="0"/>
                <w:sz w:val="20"/>
                <w:szCs w:val="21"/>
              </w:rPr>
            </w:pPr>
            <w:r>
              <w:rPr>
                <w:rFonts w:hint="eastAsia" w:ascii="宋体" w:hAnsi="宋体" w:eastAsia="宋体"/>
                <w:b/>
                <w:bCs/>
                <w:color w:val="000000"/>
                <w:spacing w:val="-3"/>
                <w:kern w:val="0"/>
                <w:sz w:val="20"/>
                <w:szCs w:val="21"/>
              </w:rPr>
              <w:t>考评内容</w:t>
            </w:r>
          </w:p>
        </w:tc>
        <w:tc>
          <w:tcPr>
            <w:tcW w:w="3180" w:type="dxa"/>
            <w:tcBorders>
              <w:top w:val="single" w:color="000000" w:sz="2" w:space="0"/>
              <w:left w:val="single" w:color="000000" w:sz="2" w:space="0"/>
              <w:bottom w:val="single" w:color="000000" w:sz="2" w:space="0"/>
              <w:right w:val="single" w:color="000000" w:sz="2" w:space="0"/>
            </w:tcBorders>
            <w:vAlign w:val="center"/>
          </w:tcPr>
          <w:p w14:paraId="76FF05ED">
            <w:pPr>
              <w:widowControl/>
              <w:kinsoku w:val="0"/>
              <w:autoSpaceDE w:val="0"/>
              <w:autoSpaceDN w:val="0"/>
              <w:adjustRightInd w:val="0"/>
              <w:snapToGrid w:val="0"/>
              <w:spacing w:before="84" w:line="360" w:lineRule="auto"/>
              <w:jc w:val="center"/>
              <w:textAlignment w:val="baseline"/>
              <w:rPr>
                <w:rFonts w:hint="eastAsia" w:ascii="宋体" w:hAnsi="宋体" w:eastAsia="宋体"/>
                <w:color w:val="000000"/>
                <w:kern w:val="0"/>
                <w:sz w:val="20"/>
                <w:szCs w:val="21"/>
              </w:rPr>
            </w:pPr>
            <w:r>
              <w:rPr>
                <w:rFonts w:hint="eastAsia" w:ascii="宋体" w:hAnsi="宋体" w:eastAsia="宋体"/>
                <w:b/>
                <w:bCs/>
                <w:color w:val="000000"/>
                <w:spacing w:val="-3"/>
                <w:kern w:val="0"/>
                <w:sz w:val="20"/>
                <w:szCs w:val="21"/>
              </w:rPr>
              <w:t>考核对细则</w:t>
            </w:r>
          </w:p>
        </w:tc>
        <w:tc>
          <w:tcPr>
            <w:tcW w:w="2911" w:type="dxa"/>
            <w:tcBorders>
              <w:top w:val="single" w:color="000000" w:sz="2" w:space="0"/>
              <w:left w:val="single" w:color="000000" w:sz="2" w:space="0"/>
              <w:bottom w:val="single" w:color="000000" w:sz="2" w:space="0"/>
              <w:right w:val="single" w:color="000000" w:sz="2" w:space="0"/>
            </w:tcBorders>
            <w:vAlign w:val="center"/>
          </w:tcPr>
          <w:p w14:paraId="30935646">
            <w:pPr>
              <w:widowControl/>
              <w:kinsoku w:val="0"/>
              <w:autoSpaceDE w:val="0"/>
              <w:autoSpaceDN w:val="0"/>
              <w:adjustRightInd w:val="0"/>
              <w:snapToGrid w:val="0"/>
              <w:spacing w:before="85" w:line="360" w:lineRule="auto"/>
              <w:jc w:val="center"/>
              <w:textAlignment w:val="baseline"/>
              <w:rPr>
                <w:rFonts w:hint="eastAsia" w:ascii="宋体" w:hAnsi="宋体" w:eastAsia="宋体"/>
                <w:color w:val="000000"/>
                <w:kern w:val="0"/>
                <w:sz w:val="20"/>
                <w:szCs w:val="21"/>
              </w:rPr>
            </w:pPr>
            <w:r>
              <w:rPr>
                <w:rFonts w:hint="eastAsia" w:ascii="宋体" w:hAnsi="宋体" w:eastAsia="宋体"/>
                <w:b/>
                <w:bCs/>
                <w:color w:val="000000"/>
                <w:spacing w:val="-3"/>
                <w:kern w:val="0"/>
                <w:sz w:val="20"/>
                <w:szCs w:val="21"/>
              </w:rPr>
              <w:t>评分标准</w:t>
            </w:r>
          </w:p>
        </w:tc>
        <w:tc>
          <w:tcPr>
            <w:tcW w:w="995" w:type="dxa"/>
            <w:tcBorders>
              <w:top w:val="single" w:color="000000" w:sz="2" w:space="0"/>
              <w:left w:val="single" w:color="000000" w:sz="2" w:space="0"/>
              <w:bottom w:val="single" w:color="000000" w:sz="2" w:space="0"/>
              <w:right w:val="single" w:color="000000" w:sz="2" w:space="0"/>
            </w:tcBorders>
            <w:vAlign w:val="center"/>
          </w:tcPr>
          <w:p w14:paraId="1F619AF7">
            <w:pPr>
              <w:widowControl/>
              <w:kinsoku w:val="0"/>
              <w:autoSpaceDE w:val="0"/>
              <w:autoSpaceDN w:val="0"/>
              <w:adjustRightInd w:val="0"/>
              <w:snapToGrid w:val="0"/>
              <w:spacing w:before="85" w:line="360" w:lineRule="auto"/>
              <w:jc w:val="center"/>
              <w:textAlignment w:val="baseline"/>
              <w:rPr>
                <w:rFonts w:hint="eastAsia" w:ascii="宋体" w:hAnsi="宋体" w:eastAsia="宋体"/>
                <w:color w:val="000000"/>
                <w:kern w:val="0"/>
                <w:sz w:val="20"/>
                <w:szCs w:val="21"/>
              </w:rPr>
            </w:pPr>
            <w:r>
              <w:rPr>
                <w:rFonts w:hint="eastAsia" w:ascii="宋体" w:hAnsi="宋体" w:eastAsia="宋体"/>
                <w:b/>
                <w:bCs/>
                <w:color w:val="000000"/>
                <w:spacing w:val="-5"/>
                <w:kern w:val="0"/>
                <w:sz w:val="20"/>
                <w:szCs w:val="21"/>
              </w:rPr>
              <w:t>扣分</w:t>
            </w:r>
          </w:p>
        </w:tc>
      </w:tr>
      <w:tr w14:paraId="7A5C9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78" w:type="dxa"/>
            <w:vMerge w:val="restart"/>
            <w:tcBorders>
              <w:top w:val="nil"/>
              <w:left w:val="single" w:color="000000" w:sz="2" w:space="0"/>
              <w:bottom w:val="nil"/>
              <w:right w:val="single" w:color="000000" w:sz="2" w:space="0"/>
            </w:tcBorders>
            <w:vAlign w:val="center"/>
          </w:tcPr>
          <w:p w14:paraId="790920BD">
            <w:pPr>
              <w:widowControl/>
              <w:kinsoku w:val="0"/>
              <w:autoSpaceDE w:val="0"/>
              <w:autoSpaceDN w:val="0"/>
              <w:adjustRightInd w:val="0"/>
              <w:snapToGrid w:val="0"/>
              <w:spacing w:before="68" w:line="360" w:lineRule="auto"/>
              <w:jc w:val="center"/>
              <w:textAlignment w:val="baseline"/>
              <w:rPr>
                <w:rFonts w:hint="eastAsia" w:ascii="宋体" w:hAnsi="宋体" w:eastAsia="宋体"/>
                <w:color w:val="000000"/>
                <w:kern w:val="0"/>
                <w:sz w:val="20"/>
                <w:szCs w:val="21"/>
              </w:rPr>
            </w:pPr>
            <w:r>
              <w:rPr>
                <w:rFonts w:hint="eastAsia" w:ascii="宋体" w:hAnsi="宋体" w:eastAsia="宋体"/>
                <w:color w:val="000000"/>
                <w:kern w:val="0"/>
                <w:sz w:val="20"/>
                <w:szCs w:val="21"/>
              </w:rPr>
              <w:t>1</w:t>
            </w:r>
          </w:p>
        </w:tc>
        <w:tc>
          <w:tcPr>
            <w:tcW w:w="840" w:type="dxa"/>
            <w:vMerge w:val="restart"/>
            <w:tcBorders>
              <w:top w:val="nil"/>
              <w:left w:val="single" w:color="000000" w:sz="2" w:space="0"/>
              <w:bottom w:val="nil"/>
              <w:right w:val="single" w:color="000000" w:sz="2" w:space="0"/>
            </w:tcBorders>
            <w:vAlign w:val="center"/>
          </w:tcPr>
          <w:p w14:paraId="6E39DD6E">
            <w:pPr>
              <w:widowControl/>
              <w:kinsoku w:val="0"/>
              <w:autoSpaceDE w:val="0"/>
              <w:autoSpaceDN w:val="0"/>
              <w:adjustRightInd w:val="0"/>
              <w:snapToGrid w:val="0"/>
              <w:spacing w:before="68" w:line="360" w:lineRule="auto"/>
              <w:jc w:val="center"/>
              <w:textAlignment w:val="baseline"/>
              <w:rPr>
                <w:rFonts w:hint="eastAsia" w:ascii="宋体" w:hAnsi="宋体" w:eastAsia="宋体"/>
                <w:color w:val="000000"/>
                <w:kern w:val="0"/>
                <w:sz w:val="20"/>
                <w:szCs w:val="21"/>
              </w:rPr>
            </w:pPr>
            <w:r>
              <w:rPr>
                <w:rFonts w:hint="eastAsia" w:ascii="宋体" w:hAnsi="宋体" w:eastAsia="宋体"/>
                <w:color w:val="000000"/>
                <w:spacing w:val="-2"/>
                <w:kern w:val="0"/>
                <w:sz w:val="20"/>
                <w:szCs w:val="21"/>
              </w:rPr>
              <w:t>服务质量</w:t>
            </w:r>
          </w:p>
        </w:tc>
        <w:tc>
          <w:tcPr>
            <w:tcW w:w="3180" w:type="dxa"/>
            <w:tcBorders>
              <w:top w:val="single" w:color="000000" w:sz="2" w:space="0"/>
              <w:left w:val="single" w:color="000000" w:sz="2" w:space="0"/>
              <w:bottom w:val="single" w:color="000000" w:sz="2" w:space="0"/>
              <w:right w:val="single" w:color="000000" w:sz="2" w:space="0"/>
            </w:tcBorders>
            <w:vAlign w:val="center"/>
          </w:tcPr>
          <w:p w14:paraId="3CF0BF05">
            <w:pPr>
              <w:widowControl/>
              <w:kinsoku w:val="0"/>
              <w:autoSpaceDE w:val="0"/>
              <w:autoSpaceDN w:val="0"/>
              <w:adjustRightInd w:val="0"/>
              <w:snapToGrid w:val="0"/>
              <w:spacing w:before="117" w:line="360" w:lineRule="auto"/>
              <w:ind w:left="35" w:right="24"/>
              <w:textAlignment w:val="baseline"/>
              <w:rPr>
                <w:rFonts w:hint="eastAsia" w:ascii="宋体" w:hAnsi="宋体" w:eastAsia="宋体"/>
                <w:color w:val="000000"/>
                <w:kern w:val="0"/>
                <w:sz w:val="20"/>
                <w:szCs w:val="21"/>
              </w:rPr>
            </w:pPr>
            <w:r>
              <w:rPr>
                <w:rFonts w:hint="eastAsia" w:ascii="宋体" w:hAnsi="宋体" w:eastAsia="宋体"/>
                <w:color w:val="000000"/>
                <w:kern w:val="0"/>
                <w:sz w:val="20"/>
                <w:szCs w:val="21"/>
              </w:rPr>
              <w:t>日常工作管理开设服务电话专</w:t>
            </w:r>
            <w:r>
              <w:rPr>
                <w:rFonts w:hint="eastAsia" w:ascii="宋体" w:hAnsi="宋体" w:eastAsia="宋体"/>
                <w:color w:val="000000"/>
                <w:spacing w:val="-4"/>
                <w:kern w:val="0"/>
                <w:sz w:val="20"/>
                <w:szCs w:val="21"/>
              </w:rPr>
              <w:t>线（24小时值班）</w:t>
            </w:r>
          </w:p>
        </w:tc>
        <w:tc>
          <w:tcPr>
            <w:tcW w:w="2911" w:type="dxa"/>
            <w:tcBorders>
              <w:top w:val="single" w:color="000000" w:sz="2" w:space="0"/>
              <w:left w:val="single" w:color="000000" w:sz="2" w:space="0"/>
              <w:bottom w:val="single" w:color="000000" w:sz="2" w:space="0"/>
              <w:right w:val="single" w:color="000000" w:sz="2" w:space="0"/>
            </w:tcBorders>
            <w:vAlign w:val="center"/>
          </w:tcPr>
          <w:p w14:paraId="7ADCF89B">
            <w:pPr>
              <w:widowControl/>
              <w:kinsoku w:val="0"/>
              <w:autoSpaceDE w:val="0"/>
              <w:autoSpaceDN w:val="0"/>
              <w:adjustRightInd w:val="0"/>
              <w:snapToGrid w:val="0"/>
              <w:spacing w:before="117" w:line="360" w:lineRule="auto"/>
              <w:ind w:right="84"/>
              <w:textAlignment w:val="baseline"/>
              <w:rPr>
                <w:rFonts w:hint="eastAsia" w:ascii="宋体" w:hAnsi="宋体" w:eastAsia="宋体"/>
                <w:color w:val="000000"/>
                <w:kern w:val="0"/>
                <w:sz w:val="20"/>
                <w:szCs w:val="21"/>
              </w:rPr>
            </w:pPr>
            <w:r>
              <w:rPr>
                <w:rFonts w:hint="eastAsia" w:ascii="宋体" w:hAnsi="宋体" w:eastAsia="宋体"/>
                <w:color w:val="000000"/>
                <w:spacing w:val="-1"/>
                <w:kern w:val="0"/>
                <w:sz w:val="20"/>
                <w:szCs w:val="21"/>
              </w:rPr>
              <w:t>服务电话专线无人接听每次扣</w:t>
            </w:r>
            <w:r>
              <w:rPr>
                <w:rFonts w:hint="eastAsia" w:ascii="宋体" w:hAnsi="宋体" w:eastAsia="宋体"/>
                <w:color w:val="000000"/>
                <w:spacing w:val="-6"/>
                <w:kern w:val="0"/>
                <w:sz w:val="20"/>
                <w:szCs w:val="21"/>
              </w:rPr>
              <w:t>2分</w:t>
            </w:r>
          </w:p>
        </w:tc>
        <w:tc>
          <w:tcPr>
            <w:tcW w:w="995" w:type="dxa"/>
            <w:tcBorders>
              <w:top w:val="single" w:color="000000" w:sz="2" w:space="0"/>
              <w:left w:val="single" w:color="000000" w:sz="2" w:space="0"/>
              <w:bottom w:val="single" w:color="000000" w:sz="2" w:space="0"/>
              <w:right w:val="single" w:color="000000" w:sz="2" w:space="0"/>
            </w:tcBorders>
          </w:tcPr>
          <w:p w14:paraId="0A3A51B1">
            <w:pPr>
              <w:widowControl/>
              <w:kinsoku w:val="0"/>
              <w:autoSpaceDE w:val="0"/>
              <w:autoSpaceDN w:val="0"/>
              <w:adjustRightInd w:val="0"/>
              <w:snapToGrid w:val="0"/>
              <w:spacing w:line="360" w:lineRule="auto"/>
              <w:jc w:val="left"/>
              <w:textAlignment w:val="baseline"/>
              <w:rPr>
                <w:rFonts w:ascii="Arial" w:hAnsi="Arial" w:eastAsia="宋体" w:cs="Arial"/>
                <w:color w:val="000000"/>
                <w:kern w:val="0"/>
                <w:sz w:val="20"/>
                <w:szCs w:val="21"/>
              </w:rPr>
            </w:pPr>
          </w:p>
        </w:tc>
      </w:tr>
      <w:tr w14:paraId="4044B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578" w:type="dxa"/>
            <w:vMerge w:val="continue"/>
            <w:tcBorders>
              <w:top w:val="nil"/>
              <w:left w:val="single" w:color="000000" w:sz="2" w:space="0"/>
              <w:bottom w:val="nil"/>
              <w:right w:val="single" w:color="000000" w:sz="2" w:space="0"/>
            </w:tcBorders>
            <w:vAlign w:val="center"/>
          </w:tcPr>
          <w:p w14:paraId="4E407FEE">
            <w:pPr>
              <w:widowControl/>
              <w:spacing w:line="360" w:lineRule="auto"/>
              <w:jc w:val="center"/>
              <w:rPr>
                <w:rFonts w:hint="eastAsia" w:ascii="宋体" w:hAnsi="宋体" w:eastAsia="宋体"/>
                <w:color w:val="000000"/>
                <w:kern w:val="0"/>
                <w:sz w:val="20"/>
                <w:szCs w:val="21"/>
              </w:rPr>
            </w:pPr>
          </w:p>
        </w:tc>
        <w:tc>
          <w:tcPr>
            <w:tcW w:w="840" w:type="dxa"/>
            <w:vMerge w:val="continue"/>
            <w:tcBorders>
              <w:top w:val="nil"/>
              <w:left w:val="single" w:color="000000" w:sz="2" w:space="0"/>
              <w:bottom w:val="nil"/>
              <w:right w:val="single" w:color="000000" w:sz="2" w:space="0"/>
            </w:tcBorders>
            <w:vAlign w:val="center"/>
          </w:tcPr>
          <w:p w14:paraId="1B78BE15">
            <w:pPr>
              <w:widowControl/>
              <w:spacing w:line="360" w:lineRule="auto"/>
              <w:jc w:val="center"/>
              <w:rPr>
                <w:rFonts w:hint="eastAsia" w:ascii="宋体" w:hAnsi="宋体" w:eastAsia="宋体"/>
                <w:color w:val="000000"/>
                <w:kern w:val="0"/>
                <w:sz w:val="20"/>
                <w:szCs w:val="21"/>
              </w:rPr>
            </w:pPr>
          </w:p>
        </w:tc>
        <w:tc>
          <w:tcPr>
            <w:tcW w:w="3180" w:type="dxa"/>
            <w:tcBorders>
              <w:top w:val="single" w:color="000000" w:sz="2" w:space="0"/>
              <w:left w:val="single" w:color="000000" w:sz="2" w:space="0"/>
              <w:bottom w:val="single" w:color="000000" w:sz="2" w:space="0"/>
              <w:right w:val="single" w:color="000000" w:sz="2" w:space="0"/>
            </w:tcBorders>
            <w:vAlign w:val="center"/>
          </w:tcPr>
          <w:p w14:paraId="0220DF55">
            <w:pPr>
              <w:widowControl/>
              <w:kinsoku w:val="0"/>
              <w:autoSpaceDE w:val="0"/>
              <w:autoSpaceDN w:val="0"/>
              <w:adjustRightInd w:val="0"/>
              <w:snapToGrid w:val="0"/>
              <w:spacing w:before="211" w:line="360" w:lineRule="auto"/>
              <w:ind w:left="33" w:right="23"/>
              <w:textAlignment w:val="baseline"/>
              <w:rPr>
                <w:rFonts w:hint="eastAsia" w:ascii="宋体" w:hAnsi="宋体" w:eastAsia="宋体"/>
                <w:color w:val="000000"/>
                <w:kern w:val="0"/>
                <w:sz w:val="20"/>
                <w:szCs w:val="21"/>
              </w:rPr>
            </w:pPr>
            <w:r>
              <w:rPr>
                <w:rFonts w:hint="eastAsia" w:ascii="宋体" w:hAnsi="宋体" w:eastAsia="宋体"/>
                <w:color w:val="000000"/>
                <w:spacing w:val="-2"/>
                <w:kern w:val="0"/>
                <w:sz w:val="20"/>
                <w:szCs w:val="21"/>
              </w:rPr>
              <w:t>24小时不间断的安保人员，有</w:t>
            </w:r>
            <w:r>
              <w:rPr>
                <w:rFonts w:hint="eastAsia" w:ascii="宋体" w:hAnsi="宋体" w:eastAsia="宋体"/>
                <w:color w:val="000000"/>
                <w:spacing w:val="-1"/>
                <w:kern w:val="0"/>
                <w:sz w:val="20"/>
                <w:szCs w:val="21"/>
              </w:rPr>
              <w:t>值班考勤表</w:t>
            </w:r>
          </w:p>
        </w:tc>
        <w:tc>
          <w:tcPr>
            <w:tcW w:w="2911" w:type="dxa"/>
            <w:tcBorders>
              <w:top w:val="single" w:color="000000" w:sz="2" w:space="0"/>
              <w:left w:val="single" w:color="000000" w:sz="2" w:space="0"/>
              <w:bottom w:val="single" w:color="000000" w:sz="2" w:space="0"/>
              <w:right w:val="single" w:color="000000" w:sz="2" w:space="0"/>
            </w:tcBorders>
            <w:vAlign w:val="center"/>
          </w:tcPr>
          <w:p w14:paraId="42248018">
            <w:pPr>
              <w:widowControl/>
              <w:kinsoku w:val="0"/>
              <w:autoSpaceDE w:val="0"/>
              <w:autoSpaceDN w:val="0"/>
              <w:adjustRightInd w:val="0"/>
              <w:snapToGrid w:val="0"/>
              <w:spacing w:before="59" w:line="360" w:lineRule="auto"/>
              <w:ind w:left="99"/>
              <w:textAlignment w:val="baseline"/>
              <w:rPr>
                <w:rFonts w:hint="eastAsia" w:ascii="宋体" w:hAnsi="宋体" w:eastAsia="宋体"/>
                <w:color w:val="000000"/>
                <w:kern w:val="0"/>
                <w:sz w:val="20"/>
                <w:szCs w:val="21"/>
              </w:rPr>
            </w:pPr>
            <w:r>
              <w:rPr>
                <w:rFonts w:hint="eastAsia" w:ascii="宋体" w:hAnsi="宋体" w:eastAsia="宋体"/>
                <w:color w:val="000000"/>
                <w:spacing w:val="-1"/>
                <w:kern w:val="0"/>
                <w:sz w:val="20"/>
                <w:szCs w:val="21"/>
              </w:rPr>
              <w:t>发现安保人员离岗或无法提供值班考勤表或值班考勤表不</w:t>
            </w:r>
            <w:r>
              <w:rPr>
                <w:rFonts w:hint="eastAsia" w:ascii="宋体" w:hAnsi="宋体" w:eastAsia="宋体"/>
                <w:color w:val="000000"/>
                <w:spacing w:val="-3"/>
                <w:kern w:val="0"/>
                <w:sz w:val="20"/>
                <w:szCs w:val="21"/>
              </w:rPr>
              <w:t>完整每次每项扣2</w:t>
            </w:r>
            <w:r>
              <w:rPr>
                <w:rFonts w:hint="eastAsia" w:ascii="宋体" w:hAnsi="宋体" w:eastAsia="宋体"/>
                <w:color w:val="000000"/>
                <w:spacing w:val="-41"/>
                <w:kern w:val="0"/>
                <w:sz w:val="20"/>
                <w:szCs w:val="21"/>
              </w:rPr>
              <w:t xml:space="preserve"> </w:t>
            </w:r>
            <w:r>
              <w:rPr>
                <w:rFonts w:hint="eastAsia" w:ascii="宋体" w:hAnsi="宋体" w:eastAsia="宋体"/>
                <w:color w:val="000000"/>
                <w:spacing w:val="-3"/>
                <w:kern w:val="0"/>
                <w:sz w:val="20"/>
                <w:szCs w:val="21"/>
              </w:rPr>
              <w:t>分</w:t>
            </w:r>
          </w:p>
        </w:tc>
        <w:tc>
          <w:tcPr>
            <w:tcW w:w="995" w:type="dxa"/>
            <w:tcBorders>
              <w:top w:val="single" w:color="000000" w:sz="2" w:space="0"/>
              <w:left w:val="single" w:color="000000" w:sz="2" w:space="0"/>
              <w:bottom w:val="single" w:color="000000" w:sz="2" w:space="0"/>
              <w:right w:val="single" w:color="000000" w:sz="2" w:space="0"/>
            </w:tcBorders>
          </w:tcPr>
          <w:p w14:paraId="0D52E5C0">
            <w:pPr>
              <w:widowControl/>
              <w:kinsoku w:val="0"/>
              <w:autoSpaceDE w:val="0"/>
              <w:autoSpaceDN w:val="0"/>
              <w:adjustRightInd w:val="0"/>
              <w:snapToGrid w:val="0"/>
              <w:spacing w:line="360" w:lineRule="auto"/>
              <w:jc w:val="left"/>
              <w:textAlignment w:val="baseline"/>
              <w:rPr>
                <w:rFonts w:ascii="Arial" w:hAnsi="Arial" w:eastAsia="宋体" w:cs="Arial"/>
                <w:color w:val="000000"/>
                <w:kern w:val="0"/>
                <w:sz w:val="20"/>
                <w:szCs w:val="21"/>
              </w:rPr>
            </w:pPr>
          </w:p>
        </w:tc>
      </w:tr>
      <w:tr w14:paraId="2F822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578" w:type="dxa"/>
            <w:vMerge w:val="continue"/>
            <w:tcBorders>
              <w:top w:val="nil"/>
              <w:left w:val="single" w:color="000000" w:sz="2" w:space="0"/>
              <w:bottom w:val="nil"/>
              <w:right w:val="single" w:color="000000" w:sz="2" w:space="0"/>
            </w:tcBorders>
            <w:vAlign w:val="center"/>
          </w:tcPr>
          <w:p w14:paraId="27234F26">
            <w:pPr>
              <w:widowControl/>
              <w:spacing w:line="360" w:lineRule="auto"/>
              <w:jc w:val="center"/>
              <w:rPr>
                <w:rFonts w:hint="eastAsia" w:ascii="宋体" w:hAnsi="宋体" w:eastAsia="宋体"/>
                <w:color w:val="000000"/>
                <w:kern w:val="0"/>
                <w:sz w:val="20"/>
                <w:szCs w:val="21"/>
              </w:rPr>
            </w:pPr>
          </w:p>
        </w:tc>
        <w:tc>
          <w:tcPr>
            <w:tcW w:w="840" w:type="dxa"/>
            <w:vMerge w:val="continue"/>
            <w:tcBorders>
              <w:top w:val="nil"/>
              <w:left w:val="single" w:color="000000" w:sz="2" w:space="0"/>
              <w:bottom w:val="nil"/>
              <w:right w:val="single" w:color="000000" w:sz="2" w:space="0"/>
            </w:tcBorders>
            <w:vAlign w:val="center"/>
          </w:tcPr>
          <w:p w14:paraId="10A01A28">
            <w:pPr>
              <w:widowControl/>
              <w:spacing w:line="360" w:lineRule="auto"/>
              <w:jc w:val="center"/>
              <w:rPr>
                <w:rFonts w:hint="eastAsia" w:ascii="宋体" w:hAnsi="宋体" w:eastAsia="宋体"/>
                <w:color w:val="000000"/>
                <w:kern w:val="0"/>
                <w:sz w:val="20"/>
                <w:szCs w:val="21"/>
              </w:rPr>
            </w:pPr>
          </w:p>
        </w:tc>
        <w:tc>
          <w:tcPr>
            <w:tcW w:w="3180" w:type="dxa"/>
            <w:tcBorders>
              <w:top w:val="single" w:color="000000" w:sz="2" w:space="0"/>
              <w:left w:val="single" w:color="000000" w:sz="2" w:space="0"/>
              <w:bottom w:val="single" w:color="000000" w:sz="2" w:space="0"/>
              <w:right w:val="single" w:color="000000" w:sz="2" w:space="0"/>
            </w:tcBorders>
            <w:vAlign w:val="center"/>
          </w:tcPr>
          <w:p w14:paraId="69183098">
            <w:pPr>
              <w:widowControl/>
              <w:kinsoku w:val="0"/>
              <w:autoSpaceDE w:val="0"/>
              <w:autoSpaceDN w:val="0"/>
              <w:adjustRightInd w:val="0"/>
              <w:snapToGrid w:val="0"/>
              <w:spacing w:before="59" w:line="360" w:lineRule="auto"/>
              <w:ind w:left="33" w:right="24"/>
              <w:textAlignment w:val="baseline"/>
              <w:rPr>
                <w:rFonts w:hint="eastAsia" w:ascii="宋体" w:hAnsi="宋体" w:eastAsia="宋体"/>
                <w:color w:val="000000"/>
                <w:kern w:val="0"/>
                <w:sz w:val="20"/>
                <w:szCs w:val="21"/>
              </w:rPr>
            </w:pPr>
            <w:r>
              <w:rPr>
                <w:rFonts w:hint="eastAsia" w:ascii="宋体" w:hAnsi="宋体" w:eastAsia="宋体"/>
                <w:color w:val="000000"/>
                <w:spacing w:val="3"/>
                <w:kern w:val="0"/>
                <w:sz w:val="20"/>
                <w:szCs w:val="21"/>
              </w:rPr>
              <w:t>仓库安防系统定期巡检台账完</w:t>
            </w:r>
            <w:r>
              <w:rPr>
                <w:rFonts w:hint="eastAsia" w:ascii="宋体" w:hAnsi="宋体" w:eastAsia="宋体"/>
                <w:color w:val="000000"/>
                <w:spacing w:val="-1"/>
                <w:kern w:val="0"/>
                <w:sz w:val="20"/>
                <w:szCs w:val="21"/>
              </w:rPr>
              <w:t>整，确保系统正常运行</w:t>
            </w:r>
          </w:p>
        </w:tc>
        <w:tc>
          <w:tcPr>
            <w:tcW w:w="2911" w:type="dxa"/>
            <w:tcBorders>
              <w:top w:val="single" w:color="000000" w:sz="2" w:space="0"/>
              <w:left w:val="single" w:color="000000" w:sz="2" w:space="0"/>
              <w:bottom w:val="single" w:color="000000" w:sz="2" w:space="0"/>
              <w:right w:val="single" w:color="000000" w:sz="2" w:space="0"/>
            </w:tcBorders>
            <w:vAlign w:val="center"/>
          </w:tcPr>
          <w:p w14:paraId="600D1CAC">
            <w:pPr>
              <w:widowControl/>
              <w:kinsoku w:val="0"/>
              <w:autoSpaceDE w:val="0"/>
              <w:autoSpaceDN w:val="0"/>
              <w:adjustRightInd w:val="0"/>
              <w:snapToGrid w:val="0"/>
              <w:spacing w:before="59" w:line="360" w:lineRule="auto"/>
              <w:ind w:left="99"/>
              <w:textAlignment w:val="baseline"/>
              <w:rPr>
                <w:rFonts w:hint="eastAsia" w:ascii="宋体" w:hAnsi="宋体" w:eastAsia="宋体"/>
                <w:color w:val="000000"/>
                <w:kern w:val="0"/>
                <w:sz w:val="20"/>
                <w:szCs w:val="21"/>
              </w:rPr>
            </w:pPr>
            <w:r>
              <w:rPr>
                <w:rFonts w:hint="eastAsia" w:ascii="宋体" w:hAnsi="宋体" w:eastAsia="宋体"/>
                <w:color w:val="000000"/>
                <w:spacing w:val="-1"/>
                <w:kern w:val="0"/>
                <w:sz w:val="20"/>
                <w:szCs w:val="21"/>
              </w:rPr>
              <w:t>发现无巡检台账或台账不完整</w:t>
            </w:r>
            <w:r>
              <w:rPr>
                <w:rFonts w:hint="eastAsia" w:ascii="宋体" w:hAnsi="宋体" w:eastAsia="宋体"/>
                <w:color w:val="000000"/>
                <w:spacing w:val="-4"/>
                <w:kern w:val="0"/>
                <w:sz w:val="20"/>
                <w:szCs w:val="21"/>
              </w:rPr>
              <w:t>每次扣</w:t>
            </w:r>
            <w:r>
              <w:rPr>
                <w:rFonts w:hint="eastAsia" w:ascii="宋体" w:hAnsi="宋体" w:eastAsia="宋体"/>
                <w:color w:val="000000"/>
                <w:spacing w:val="-40"/>
                <w:kern w:val="0"/>
                <w:sz w:val="20"/>
                <w:szCs w:val="21"/>
              </w:rPr>
              <w:t xml:space="preserve"> </w:t>
            </w:r>
            <w:r>
              <w:rPr>
                <w:rFonts w:hint="eastAsia" w:ascii="宋体" w:hAnsi="宋体" w:eastAsia="宋体"/>
                <w:color w:val="000000"/>
                <w:spacing w:val="-4"/>
                <w:kern w:val="0"/>
                <w:sz w:val="20"/>
                <w:szCs w:val="21"/>
              </w:rPr>
              <w:t>5</w:t>
            </w:r>
            <w:r>
              <w:rPr>
                <w:rFonts w:hint="eastAsia" w:ascii="宋体" w:hAnsi="宋体" w:eastAsia="宋体"/>
                <w:color w:val="000000"/>
                <w:spacing w:val="-42"/>
                <w:kern w:val="0"/>
                <w:sz w:val="20"/>
                <w:szCs w:val="21"/>
              </w:rPr>
              <w:t xml:space="preserve"> </w:t>
            </w:r>
            <w:r>
              <w:rPr>
                <w:rFonts w:hint="eastAsia" w:ascii="宋体" w:hAnsi="宋体" w:eastAsia="宋体"/>
                <w:color w:val="000000"/>
                <w:spacing w:val="-4"/>
                <w:kern w:val="0"/>
                <w:sz w:val="20"/>
                <w:szCs w:val="21"/>
              </w:rPr>
              <w:t>分</w:t>
            </w:r>
          </w:p>
        </w:tc>
        <w:tc>
          <w:tcPr>
            <w:tcW w:w="995" w:type="dxa"/>
            <w:tcBorders>
              <w:top w:val="single" w:color="000000" w:sz="2" w:space="0"/>
              <w:left w:val="single" w:color="000000" w:sz="2" w:space="0"/>
              <w:bottom w:val="single" w:color="000000" w:sz="2" w:space="0"/>
              <w:right w:val="single" w:color="000000" w:sz="2" w:space="0"/>
            </w:tcBorders>
          </w:tcPr>
          <w:p w14:paraId="7211CA13">
            <w:pPr>
              <w:widowControl/>
              <w:kinsoku w:val="0"/>
              <w:autoSpaceDE w:val="0"/>
              <w:autoSpaceDN w:val="0"/>
              <w:adjustRightInd w:val="0"/>
              <w:snapToGrid w:val="0"/>
              <w:spacing w:line="360" w:lineRule="auto"/>
              <w:jc w:val="left"/>
              <w:textAlignment w:val="baseline"/>
              <w:rPr>
                <w:rFonts w:ascii="Arial" w:hAnsi="Arial" w:eastAsia="宋体" w:cs="Arial"/>
                <w:color w:val="000000"/>
                <w:kern w:val="0"/>
                <w:sz w:val="20"/>
                <w:szCs w:val="21"/>
              </w:rPr>
            </w:pPr>
          </w:p>
        </w:tc>
      </w:tr>
      <w:tr w14:paraId="5C1D4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578" w:type="dxa"/>
            <w:vMerge w:val="continue"/>
            <w:tcBorders>
              <w:top w:val="nil"/>
              <w:left w:val="single" w:color="000000" w:sz="2" w:space="0"/>
              <w:bottom w:val="nil"/>
              <w:right w:val="single" w:color="000000" w:sz="2" w:space="0"/>
            </w:tcBorders>
            <w:vAlign w:val="center"/>
          </w:tcPr>
          <w:p w14:paraId="2E53D853">
            <w:pPr>
              <w:widowControl/>
              <w:spacing w:line="360" w:lineRule="auto"/>
              <w:jc w:val="center"/>
              <w:rPr>
                <w:rFonts w:hint="eastAsia" w:ascii="宋体" w:hAnsi="宋体" w:eastAsia="宋体"/>
                <w:color w:val="000000"/>
                <w:kern w:val="0"/>
                <w:sz w:val="20"/>
                <w:szCs w:val="21"/>
              </w:rPr>
            </w:pPr>
          </w:p>
        </w:tc>
        <w:tc>
          <w:tcPr>
            <w:tcW w:w="840" w:type="dxa"/>
            <w:vMerge w:val="continue"/>
            <w:tcBorders>
              <w:top w:val="nil"/>
              <w:left w:val="single" w:color="000000" w:sz="2" w:space="0"/>
              <w:bottom w:val="nil"/>
              <w:right w:val="single" w:color="000000" w:sz="2" w:space="0"/>
            </w:tcBorders>
            <w:vAlign w:val="center"/>
          </w:tcPr>
          <w:p w14:paraId="619EAB23">
            <w:pPr>
              <w:widowControl/>
              <w:spacing w:line="360" w:lineRule="auto"/>
              <w:jc w:val="center"/>
              <w:rPr>
                <w:rFonts w:hint="eastAsia" w:ascii="宋体" w:hAnsi="宋体" w:eastAsia="宋体"/>
                <w:color w:val="000000"/>
                <w:kern w:val="0"/>
                <w:sz w:val="20"/>
                <w:szCs w:val="21"/>
              </w:rPr>
            </w:pPr>
          </w:p>
        </w:tc>
        <w:tc>
          <w:tcPr>
            <w:tcW w:w="3180" w:type="dxa"/>
            <w:tcBorders>
              <w:top w:val="single" w:color="000000" w:sz="2" w:space="0"/>
              <w:left w:val="single" w:color="000000" w:sz="2" w:space="0"/>
              <w:bottom w:val="single" w:color="000000" w:sz="2" w:space="0"/>
              <w:right w:val="single" w:color="000000" w:sz="2" w:space="0"/>
            </w:tcBorders>
            <w:vAlign w:val="center"/>
          </w:tcPr>
          <w:p w14:paraId="1F184664">
            <w:pPr>
              <w:widowControl/>
              <w:kinsoku w:val="0"/>
              <w:autoSpaceDE w:val="0"/>
              <w:autoSpaceDN w:val="0"/>
              <w:adjustRightInd w:val="0"/>
              <w:snapToGrid w:val="0"/>
              <w:spacing w:before="63" w:line="360" w:lineRule="auto"/>
              <w:ind w:left="36" w:right="24"/>
              <w:textAlignment w:val="baseline"/>
              <w:rPr>
                <w:rFonts w:hint="eastAsia" w:ascii="宋体" w:hAnsi="宋体" w:eastAsia="宋体"/>
                <w:color w:val="000000"/>
                <w:kern w:val="0"/>
                <w:sz w:val="20"/>
                <w:szCs w:val="21"/>
              </w:rPr>
            </w:pPr>
            <w:r>
              <w:rPr>
                <w:rFonts w:hint="eastAsia" w:ascii="宋体" w:hAnsi="宋体" w:eastAsia="宋体"/>
                <w:color w:val="000000"/>
                <w:spacing w:val="3"/>
                <w:kern w:val="0"/>
                <w:sz w:val="20"/>
                <w:szCs w:val="21"/>
              </w:rPr>
              <w:t>仓库安防系统设备出现故障后</w:t>
            </w:r>
            <w:r>
              <w:rPr>
                <w:rFonts w:hint="eastAsia" w:ascii="宋体" w:hAnsi="宋体" w:eastAsia="宋体"/>
                <w:color w:val="000000"/>
                <w:spacing w:val="-4"/>
                <w:kern w:val="0"/>
                <w:sz w:val="20"/>
                <w:szCs w:val="21"/>
              </w:rPr>
              <w:t>必须于2小时内修复</w:t>
            </w:r>
          </w:p>
        </w:tc>
        <w:tc>
          <w:tcPr>
            <w:tcW w:w="2911" w:type="dxa"/>
            <w:tcBorders>
              <w:top w:val="single" w:color="000000" w:sz="2" w:space="0"/>
              <w:left w:val="single" w:color="000000" w:sz="2" w:space="0"/>
              <w:bottom w:val="single" w:color="000000" w:sz="2" w:space="0"/>
              <w:right w:val="single" w:color="000000" w:sz="2" w:space="0"/>
            </w:tcBorders>
            <w:vAlign w:val="center"/>
          </w:tcPr>
          <w:p w14:paraId="01513AA8">
            <w:pPr>
              <w:widowControl/>
              <w:kinsoku w:val="0"/>
              <w:autoSpaceDE w:val="0"/>
              <w:autoSpaceDN w:val="0"/>
              <w:adjustRightInd w:val="0"/>
              <w:snapToGrid w:val="0"/>
              <w:spacing w:before="62" w:line="360" w:lineRule="auto"/>
              <w:ind w:left="125"/>
              <w:textAlignment w:val="baseline"/>
              <w:rPr>
                <w:rFonts w:hint="eastAsia" w:ascii="宋体" w:hAnsi="宋体" w:eastAsia="宋体"/>
                <w:color w:val="000000"/>
                <w:kern w:val="0"/>
                <w:sz w:val="20"/>
                <w:szCs w:val="21"/>
              </w:rPr>
            </w:pPr>
            <w:r>
              <w:rPr>
                <w:rFonts w:hint="eastAsia" w:ascii="宋体" w:hAnsi="宋体" w:eastAsia="宋体"/>
                <w:color w:val="000000"/>
                <w:spacing w:val="-1"/>
                <w:kern w:val="0"/>
                <w:sz w:val="20"/>
                <w:szCs w:val="21"/>
              </w:rPr>
              <w:t>发现无及时响应修复每次扣5</w:t>
            </w:r>
            <w:r>
              <w:rPr>
                <w:rFonts w:hint="eastAsia" w:ascii="宋体" w:hAnsi="宋体" w:eastAsia="宋体"/>
                <w:color w:val="000000"/>
                <w:kern w:val="0"/>
                <w:sz w:val="20"/>
                <w:szCs w:val="21"/>
              </w:rPr>
              <w:t>分</w:t>
            </w:r>
          </w:p>
        </w:tc>
        <w:tc>
          <w:tcPr>
            <w:tcW w:w="995" w:type="dxa"/>
            <w:tcBorders>
              <w:top w:val="single" w:color="000000" w:sz="2" w:space="0"/>
              <w:left w:val="single" w:color="000000" w:sz="2" w:space="0"/>
              <w:bottom w:val="single" w:color="000000" w:sz="2" w:space="0"/>
              <w:right w:val="single" w:color="000000" w:sz="2" w:space="0"/>
            </w:tcBorders>
          </w:tcPr>
          <w:p w14:paraId="2443E7B8">
            <w:pPr>
              <w:widowControl/>
              <w:kinsoku w:val="0"/>
              <w:autoSpaceDE w:val="0"/>
              <w:autoSpaceDN w:val="0"/>
              <w:adjustRightInd w:val="0"/>
              <w:snapToGrid w:val="0"/>
              <w:spacing w:line="360" w:lineRule="auto"/>
              <w:jc w:val="left"/>
              <w:textAlignment w:val="baseline"/>
              <w:rPr>
                <w:rFonts w:ascii="Arial" w:hAnsi="Arial" w:eastAsia="宋体" w:cs="Arial"/>
                <w:color w:val="000000"/>
                <w:kern w:val="0"/>
                <w:sz w:val="20"/>
                <w:szCs w:val="21"/>
              </w:rPr>
            </w:pPr>
          </w:p>
        </w:tc>
      </w:tr>
      <w:tr w14:paraId="12297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78" w:type="dxa"/>
            <w:vMerge w:val="continue"/>
            <w:tcBorders>
              <w:top w:val="nil"/>
              <w:left w:val="single" w:color="000000" w:sz="2" w:space="0"/>
              <w:bottom w:val="nil"/>
              <w:right w:val="single" w:color="000000" w:sz="2" w:space="0"/>
            </w:tcBorders>
            <w:vAlign w:val="center"/>
          </w:tcPr>
          <w:p w14:paraId="6A9A6A30">
            <w:pPr>
              <w:widowControl/>
              <w:spacing w:line="360" w:lineRule="auto"/>
              <w:jc w:val="center"/>
              <w:rPr>
                <w:rFonts w:hint="eastAsia" w:ascii="宋体" w:hAnsi="宋体" w:eastAsia="宋体"/>
                <w:color w:val="000000"/>
                <w:kern w:val="0"/>
                <w:sz w:val="20"/>
                <w:szCs w:val="21"/>
              </w:rPr>
            </w:pPr>
          </w:p>
        </w:tc>
        <w:tc>
          <w:tcPr>
            <w:tcW w:w="840" w:type="dxa"/>
            <w:vMerge w:val="continue"/>
            <w:tcBorders>
              <w:top w:val="nil"/>
              <w:left w:val="single" w:color="000000" w:sz="2" w:space="0"/>
              <w:bottom w:val="nil"/>
              <w:right w:val="single" w:color="000000" w:sz="2" w:space="0"/>
            </w:tcBorders>
            <w:vAlign w:val="center"/>
          </w:tcPr>
          <w:p w14:paraId="40E8A721">
            <w:pPr>
              <w:widowControl/>
              <w:spacing w:line="360" w:lineRule="auto"/>
              <w:jc w:val="center"/>
              <w:rPr>
                <w:rFonts w:hint="eastAsia" w:ascii="宋体" w:hAnsi="宋体" w:eastAsia="宋体"/>
                <w:color w:val="000000"/>
                <w:kern w:val="0"/>
                <w:sz w:val="20"/>
                <w:szCs w:val="21"/>
              </w:rPr>
            </w:pPr>
          </w:p>
        </w:tc>
        <w:tc>
          <w:tcPr>
            <w:tcW w:w="3180" w:type="dxa"/>
            <w:tcBorders>
              <w:top w:val="single" w:color="000000" w:sz="2" w:space="0"/>
              <w:left w:val="single" w:color="000000" w:sz="2" w:space="0"/>
              <w:bottom w:val="single" w:color="000000" w:sz="2" w:space="0"/>
              <w:right w:val="single" w:color="000000" w:sz="2" w:space="0"/>
            </w:tcBorders>
            <w:vAlign w:val="center"/>
          </w:tcPr>
          <w:p w14:paraId="386061D9">
            <w:pPr>
              <w:widowControl/>
              <w:kinsoku w:val="0"/>
              <w:autoSpaceDE w:val="0"/>
              <w:autoSpaceDN w:val="0"/>
              <w:adjustRightInd w:val="0"/>
              <w:snapToGrid w:val="0"/>
              <w:spacing w:line="360" w:lineRule="auto"/>
              <w:ind w:left="35" w:right="24"/>
              <w:textAlignment w:val="baseline"/>
              <w:rPr>
                <w:rFonts w:hint="eastAsia" w:ascii="宋体" w:hAnsi="宋体" w:eastAsia="宋体"/>
                <w:color w:val="000000"/>
                <w:kern w:val="0"/>
                <w:sz w:val="20"/>
                <w:szCs w:val="21"/>
              </w:rPr>
            </w:pPr>
            <w:r>
              <w:rPr>
                <w:rFonts w:hint="eastAsia" w:ascii="宋体" w:hAnsi="宋体" w:eastAsia="宋体"/>
                <w:color w:val="000000"/>
                <w:spacing w:val="3"/>
                <w:kern w:val="0"/>
                <w:sz w:val="20"/>
                <w:szCs w:val="21"/>
              </w:rPr>
              <w:t>仓库管理计算机软件台账完整</w:t>
            </w:r>
            <w:r>
              <w:rPr>
                <w:rFonts w:hint="eastAsia" w:ascii="宋体" w:hAnsi="宋体" w:eastAsia="宋体"/>
                <w:color w:val="000000"/>
                <w:spacing w:val="2"/>
                <w:kern w:val="0"/>
                <w:sz w:val="20"/>
                <w:szCs w:val="21"/>
              </w:rPr>
              <w:t>（接收、仓储、反馈、出仓等</w:t>
            </w:r>
            <w:r>
              <w:rPr>
                <w:rFonts w:hint="eastAsia" w:ascii="宋体" w:hAnsi="宋体" w:eastAsia="宋体"/>
                <w:color w:val="000000"/>
                <w:spacing w:val="-5"/>
                <w:kern w:val="0"/>
                <w:sz w:val="20"/>
                <w:szCs w:val="21"/>
              </w:rPr>
              <w:t>各环节）</w:t>
            </w:r>
          </w:p>
        </w:tc>
        <w:tc>
          <w:tcPr>
            <w:tcW w:w="2911" w:type="dxa"/>
            <w:tcBorders>
              <w:top w:val="single" w:color="000000" w:sz="2" w:space="0"/>
              <w:left w:val="single" w:color="000000" w:sz="2" w:space="0"/>
              <w:bottom w:val="single" w:color="000000" w:sz="2" w:space="0"/>
              <w:right w:val="single" w:color="000000" w:sz="2" w:space="0"/>
            </w:tcBorders>
            <w:vAlign w:val="center"/>
          </w:tcPr>
          <w:p w14:paraId="649698E6">
            <w:pPr>
              <w:widowControl/>
              <w:kinsoku w:val="0"/>
              <w:autoSpaceDE w:val="0"/>
              <w:autoSpaceDN w:val="0"/>
              <w:adjustRightInd w:val="0"/>
              <w:snapToGrid w:val="0"/>
              <w:spacing w:before="68" w:line="360" w:lineRule="auto"/>
              <w:textAlignment w:val="baseline"/>
              <w:rPr>
                <w:rFonts w:hint="eastAsia" w:ascii="宋体" w:hAnsi="宋体" w:eastAsia="宋体"/>
                <w:color w:val="000000"/>
                <w:kern w:val="0"/>
                <w:sz w:val="20"/>
                <w:szCs w:val="21"/>
              </w:rPr>
            </w:pPr>
            <w:r>
              <w:rPr>
                <w:rFonts w:hint="eastAsia" w:ascii="宋体" w:hAnsi="宋体" w:eastAsia="宋体"/>
                <w:color w:val="000000"/>
                <w:spacing w:val="-2"/>
                <w:kern w:val="0"/>
                <w:sz w:val="20"/>
                <w:szCs w:val="21"/>
              </w:rPr>
              <w:t>发现台账不完整每次扣</w:t>
            </w:r>
            <w:r>
              <w:rPr>
                <w:rFonts w:hint="eastAsia" w:ascii="宋体" w:hAnsi="宋体" w:eastAsia="宋体"/>
                <w:color w:val="000000"/>
                <w:spacing w:val="-44"/>
                <w:kern w:val="0"/>
                <w:sz w:val="20"/>
                <w:szCs w:val="21"/>
              </w:rPr>
              <w:t>2</w:t>
            </w:r>
            <w:r>
              <w:rPr>
                <w:rFonts w:hint="eastAsia" w:ascii="宋体" w:hAnsi="宋体" w:eastAsia="宋体"/>
                <w:color w:val="000000"/>
                <w:spacing w:val="-2"/>
                <w:kern w:val="0"/>
                <w:sz w:val="20"/>
                <w:szCs w:val="21"/>
              </w:rPr>
              <w:t>分</w:t>
            </w:r>
          </w:p>
        </w:tc>
        <w:tc>
          <w:tcPr>
            <w:tcW w:w="995" w:type="dxa"/>
            <w:tcBorders>
              <w:top w:val="single" w:color="000000" w:sz="2" w:space="0"/>
              <w:left w:val="single" w:color="000000" w:sz="2" w:space="0"/>
              <w:bottom w:val="single" w:color="000000" w:sz="2" w:space="0"/>
              <w:right w:val="single" w:color="000000" w:sz="2" w:space="0"/>
            </w:tcBorders>
          </w:tcPr>
          <w:p w14:paraId="00748BF2">
            <w:pPr>
              <w:widowControl/>
              <w:kinsoku w:val="0"/>
              <w:autoSpaceDE w:val="0"/>
              <w:autoSpaceDN w:val="0"/>
              <w:adjustRightInd w:val="0"/>
              <w:snapToGrid w:val="0"/>
              <w:spacing w:line="360" w:lineRule="auto"/>
              <w:jc w:val="left"/>
              <w:textAlignment w:val="baseline"/>
              <w:rPr>
                <w:rFonts w:ascii="Arial" w:hAnsi="Arial" w:eastAsia="宋体" w:cs="Arial"/>
                <w:color w:val="000000"/>
                <w:kern w:val="0"/>
                <w:sz w:val="20"/>
                <w:szCs w:val="21"/>
              </w:rPr>
            </w:pPr>
          </w:p>
        </w:tc>
      </w:tr>
      <w:tr w14:paraId="69459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578" w:type="dxa"/>
            <w:tcBorders>
              <w:top w:val="single" w:color="000000" w:sz="2" w:space="0"/>
              <w:left w:val="single" w:color="000000" w:sz="2" w:space="0"/>
              <w:bottom w:val="single" w:color="000000" w:sz="2" w:space="0"/>
              <w:right w:val="single" w:color="000000" w:sz="2" w:space="0"/>
            </w:tcBorders>
            <w:vAlign w:val="center"/>
          </w:tcPr>
          <w:p w14:paraId="5B790E75">
            <w:pPr>
              <w:widowControl/>
              <w:kinsoku w:val="0"/>
              <w:autoSpaceDE w:val="0"/>
              <w:autoSpaceDN w:val="0"/>
              <w:adjustRightInd w:val="0"/>
              <w:snapToGrid w:val="0"/>
              <w:spacing w:before="69" w:line="360" w:lineRule="auto"/>
              <w:jc w:val="center"/>
              <w:textAlignment w:val="baseline"/>
              <w:rPr>
                <w:rFonts w:hint="eastAsia" w:ascii="宋体" w:hAnsi="宋体" w:eastAsia="宋体"/>
                <w:color w:val="000000"/>
                <w:kern w:val="0"/>
                <w:sz w:val="20"/>
                <w:szCs w:val="21"/>
              </w:rPr>
            </w:pPr>
            <w:r>
              <w:rPr>
                <w:rFonts w:hint="eastAsia" w:ascii="宋体" w:hAnsi="宋体" w:eastAsia="宋体"/>
                <w:color w:val="000000"/>
                <w:kern w:val="0"/>
                <w:sz w:val="20"/>
                <w:szCs w:val="21"/>
              </w:rPr>
              <w:t>2</w:t>
            </w:r>
          </w:p>
        </w:tc>
        <w:tc>
          <w:tcPr>
            <w:tcW w:w="840" w:type="dxa"/>
            <w:tcBorders>
              <w:top w:val="single" w:color="000000" w:sz="2" w:space="0"/>
              <w:left w:val="single" w:color="000000" w:sz="2" w:space="0"/>
              <w:bottom w:val="single" w:color="000000" w:sz="2" w:space="0"/>
              <w:right w:val="single" w:color="000000" w:sz="2" w:space="0"/>
            </w:tcBorders>
            <w:vAlign w:val="center"/>
          </w:tcPr>
          <w:p w14:paraId="4E2C84F8">
            <w:pPr>
              <w:widowControl/>
              <w:kinsoku w:val="0"/>
              <w:autoSpaceDE w:val="0"/>
              <w:autoSpaceDN w:val="0"/>
              <w:adjustRightInd w:val="0"/>
              <w:snapToGrid w:val="0"/>
              <w:spacing w:before="68" w:line="360" w:lineRule="auto"/>
              <w:jc w:val="center"/>
              <w:textAlignment w:val="baseline"/>
              <w:rPr>
                <w:rFonts w:hint="eastAsia" w:ascii="宋体" w:hAnsi="宋体" w:eastAsia="宋体"/>
                <w:color w:val="000000"/>
                <w:kern w:val="0"/>
                <w:sz w:val="20"/>
                <w:szCs w:val="21"/>
              </w:rPr>
            </w:pPr>
            <w:r>
              <w:rPr>
                <w:rFonts w:hint="eastAsia" w:ascii="宋体" w:hAnsi="宋体" w:eastAsia="宋体"/>
                <w:color w:val="000000"/>
                <w:spacing w:val="-2"/>
                <w:kern w:val="0"/>
                <w:sz w:val="20"/>
                <w:szCs w:val="21"/>
              </w:rPr>
              <w:t>调阅响应</w:t>
            </w:r>
          </w:p>
        </w:tc>
        <w:tc>
          <w:tcPr>
            <w:tcW w:w="3180" w:type="dxa"/>
            <w:tcBorders>
              <w:top w:val="single" w:color="000000" w:sz="2" w:space="0"/>
              <w:left w:val="single" w:color="000000" w:sz="2" w:space="0"/>
              <w:bottom w:val="single" w:color="000000" w:sz="2" w:space="0"/>
              <w:right w:val="single" w:color="000000" w:sz="2" w:space="0"/>
            </w:tcBorders>
            <w:vAlign w:val="center"/>
          </w:tcPr>
          <w:p w14:paraId="1CF5F3D0">
            <w:pPr>
              <w:widowControl/>
              <w:kinsoku w:val="0"/>
              <w:autoSpaceDE w:val="0"/>
              <w:autoSpaceDN w:val="0"/>
              <w:adjustRightInd w:val="0"/>
              <w:snapToGrid w:val="0"/>
              <w:spacing w:before="209" w:line="360" w:lineRule="auto"/>
              <w:ind w:left="32" w:right="24"/>
              <w:textAlignment w:val="baseline"/>
              <w:rPr>
                <w:rFonts w:hint="eastAsia" w:ascii="宋体" w:hAnsi="宋体" w:eastAsia="宋体"/>
                <w:color w:val="000000"/>
                <w:kern w:val="0"/>
                <w:sz w:val="20"/>
                <w:szCs w:val="21"/>
              </w:rPr>
            </w:pPr>
            <w:r>
              <w:rPr>
                <w:rFonts w:hint="eastAsia" w:ascii="宋体" w:hAnsi="宋体" w:eastAsia="宋体"/>
                <w:color w:val="000000"/>
                <w:spacing w:val="3"/>
                <w:kern w:val="0"/>
                <w:sz w:val="20"/>
                <w:szCs w:val="21"/>
              </w:rPr>
              <w:t>每次均能按合同要求时间送达或提前送</w:t>
            </w:r>
            <w:r>
              <w:rPr>
                <w:rFonts w:hint="eastAsia" w:ascii="宋体" w:hAnsi="宋体" w:eastAsia="宋体"/>
                <w:color w:val="000000"/>
                <w:kern w:val="0"/>
                <w:sz w:val="20"/>
                <w:szCs w:val="21"/>
              </w:rPr>
              <w:t>达</w:t>
            </w:r>
          </w:p>
        </w:tc>
        <w:tc>
          <w:tcPr>
            <w:tcW w:w="2911" w:type="dxa"/>
            <w:tcBorders>
              <w:top w:val="single" w:color="000000" w:sz="2" w:space="0"/>
              <w:left w:val="single" w:color="000000" w:sz="2" w:space="0"/>
              <w:bottom w:val="single" w:color="000000" w:sz="2" w:space="0"/>
              <w:right w:val="single" w:color="000000" w:sz="2" w:space="0"/>
            </w:tcBorders>
            <w:vAlign w:val="center"/>
          </w:tcPr>
          <w:p w14:paraId="2297449C">
            <w:pPr>
              <w:widowControl/>
              <w:kinsoku w:val="0"/>
              <w:autoSpaceDE w:val="0"/>
              <w:autoSpaceDN w:val="0"/>
              <w:adjustRightInd w:val="0"/>
              <w:snapToGrid w:val="0"/>
              <w:spacing w:before="59" w:line="360" w:lineRule="auto"/>
              <w:ind w:left="99"/>
              <w:textAlignment w:val="baseline"/>
              <w:rPr>
                <w:rFonts w:hint="eastAsia" w:ascii="宋体" w:hAnsi="宋体" w:eastAsia="宋体"/>
                <w:color w:val="000000"/>
                <w:kern w:val="0"/>
                <w:sz w:val="20"/>
                <w:szCs w:val="21"/>
              </w:rPr>
            </w:pPr>
            <w:r>
              <w:rPr>
                <w:rFonts w:hint="eastAsia" w:ascii="宋体" w:hAnsi="宋体" w:eastAsia="宋体"/>
                <w:color w:val="000000"/>
                <w:spacing w:val="-1"/>
                <w:kern w:val="0"/>
                <w:sz w:val="20"/>
                <w:szCs w:val="21"/>
              </w:rPr>
              <w:t>发现超出规定时间送达每次扣</w:t>
            </w:r>
            <w:r>
              <w:rPr>
                <w:rFonts w:hint="eastAsia" w:ascii="宋体" w:hAnsi="宋体" w:eastAsia="宋体"/>
                <w:color w:val="000000"/>
                <w:spacing w:val="-6"/>
                <w:kern w:val="0"/>
                <w:sz w:val="20"/>
                <w:szCs w:val="21"/>
              </w:rPr>
              <w:t>3</w:t>
            </w:r>
            <w:r>
              <w:rPr>
                <w:rFonts w:hint="eastAsia" w:ascii="宋体" w:hAnsi="宋体" w:eastAsia="宋体"/>
                <w:color w:val="000000"/>
                <w:spacing w:val="-38"/>
                <w:kern w:val="0"/>
                <w:sz w:val="20"/>
                <w:szCs w:val="21"/>
              </w:rPr>
              <w:t xml:space="preserve"> </w:t>
            </w:r>
            <w:r>
              <w:rPr>
                <w:rFonts w:hint="eastAsia" w:ascii="宋体" w:hAnsi="宋体" w:eastAsia="宋体"/>
                <w:color w:val="000000"/>
                <w:spacing w:val="-6"/>
                <w:kern w:val="0"/>
                <w:sz w:val="20"/>
                <w:szCs w:val="21"/>
              </w:rPr>
              <w:t>分，考核年度内每有3次超出规定时间送达</w:t>
            </w:r>
            <w:r>
              <w:rPr>
                <w:rFonts w:hint="eastAsia" w:ascii="宋体" w:hAnsi="宋体" w:eastAsia="宋体"/>
                <w:color w:val="000000"/>
                <w:spacing w:val="-5"/>
                <w:kern w:val="0"/>
                <w:sz w:val="20"/>
                <w:szCs w:val="21"/>
              </w:rPr>
              <w:t>扣20分</w:t>
            </w:r>
          </w:p>
        </w:tc>
        <w:tc>
          <w:tcPr>
            <w:tcW w:w="995" w:type="dxa"/>
            <w:tcBorders>
              <w:top w:val="single" w:color="000000" w:sz="2" w:space="0"/>
              <w:left w:val="single" w:color="000000" w:sz="2" w:space="0"/>
              <w:bottom w:val="single" w:color="000000" w:sz="2" w:space="0"/>
              <w:right w:val="single" w:color="000000" w:sz="2" w:space="0"/>
            </w:tcBorders>
          </w:tcPr>
          <w:p w14:paraId="202FEA8B">
            <w:pPr>
              <w:widowControl/>
              <w:kinsoku w:val="0"/>
              <w:autoSpaceDE w:val="0"/>
              <w:autoSpaceDN w:val="0"/>
              <w:adjustRightInd w:val="0"/>
              <w:snapToGrid w:val="0"/>
              <w:spacing w:line="360" w:lineRule="auto"/>
              <w:jc w:val="left"/>
              <w:textAlignment w:val="baseline"/>
              <w:rPr>
                <w:rFonts w:ascii="Arial" w:hAnsi="Arial" w:eastAsia="宋体" w:cs="Arial"/>
                <w:color w:val="000000"/>
                <w:kern w:val="0"/>
                <w:sz w:val="20"/>
                <w:szCs w:val="21"/>
              </w:rPr>
            </w:pPr>
          </w:p>
        </w:tc>
      </w:tr>
      <w:tr w14:paraId="61565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9" w:hRule="atLeast"/>
        </w:trPr>
        <w:tc>
          <w:tcPr>
            <w:tcW w:w="578" w:type="dxa"/>
            <w:tcBorders>
              <w:top w:val="single" w:color="000000" w:sz="2" w:space="0"/>
              <w:left w:val="single" w:color="000000" w:sz="2" w:space="0"/>
              <w:bottom w:val="single" w:color="000000" w:sz="2" w:space="0"/>
              <w:right w:val="single" w:color="000000" w:sz="2" w:space="0"/>
            </w:tcBorders>
            <w:vAlign w:val="center"/>
          </w:tcPr>
          <w:p w14:paraId="2CB69C87">
            <w:pPr>
              <w:widowControl/>
              <w:kinsoku w:val="0"/>
              <w:autoSpaceDE w:val="0"/>
              <w:autoSpaceDN w:val="0"/>
              <w:adjustRightInd w:val="0"/>
              <w:snapToGrid w:val="0"/>
              <w:spacing w:before="68" w:line="360" w:lineRule="auto"/>
              <w:jc w:val="center"/>
              <w:textAlignment w:val="baseline"/>
              <w:rPr>
                <w:rFonts w:hint="eastAsia" w:ascii="宋体" w:hAnsi="宋体" w:eastAsia="宋体"/>
                <w:color w:val="000000"/>
                <w:kern w:val="0"/>
                <w:sz w:val="20"/>
                <w:szCs w:val="21"/>
              </w:rPr>
            </w:pPr>
            <w:r>
              <w:rPr>
                <w:rFonts w:hint="eastAsia" w:ascii="宋体" w:hAnsi="宋体" w:eastAsia="宋体"/>
                <w:color w:val="000000"/>
                <w:kern w:val="0"/>
                <w:sz w:val="20"/>
                <w:szCs w:val="21"/>
              </w:rPr>
              <w:t>3</w:t>
            </w:r>
          </w:p>
        </w:tc>
        <w:tc>
          <w:tcPr>
            <w:tcW w:w="840" w:type="dxa"/>
            <w:tcBorders>
              <w:top w:val="single" w:color="000000" w:sz="2" w:space="0"/>
              <w:left w:val="single" w:color="000000" w:sz="2" w:space="0"/>
              <w:bottom w:val="single" w:color="000000" w:sz="2" w:space="0"/>
              <w:right w:val="single" w:color="000000" w:sz="2" w:space="0"/>
            </w:tcBorders>
            <w:vAlign w:val="center"/>
          </w:tcPr>
          <w:p w14:paraId="749FA169">
            <w:pPr>
              <w:widowControl/>
              <w:kinsoku w:val="0"/>
              <w:autoSpaceDE w:val="0"/>
              <w:autoSpaceDN w:val="0"/>
              <w:adjustRightInd w:val="0"/>
              <w:snapToGrid w:val="0"/>
              <w:spacing w:before="68" w:line="360" w:lineRule="auto"/>
              <w:jc w:val="center"/>
              <w:textAlignment w:val="baseline"/>
              <w:rPr>
                <w:rFonts w:hint="eastAsia" w:ascii="宋体" w:hAnsi="宋体" w:eastAsia="宋体"/>
                <w:color w:val="000000"/>
                <w:kern w:val="0"/>
                <w:sz w:val="20"/>
                <w:szCs w:val="21"/>
              </w:rPr>
            </w:pPr>
            <w:r>
              <w:rPr>
                <w:rFonts w:hint="eastAsia" w:ascii="宋体" w:hAnsi="宋体" w:eastAsia="宋体"/>
                <w:color w:val="000000"/>
                <w:spacing w:val="-2"/>
                <w:kern w:val="0"/>
                <w:sz w:val="20"/>
                <w:szCs w:val="21"/>
              </w:rPr>
              <w:t>保管质量</w:t>
            </w:r>
          </w:p>
        </w:tc>
        <w:tc>
          <w:tcPr>
            <w:tcW w:w="3180" w:type="dxa"/>
            <w:tcBorders>
              <w:top w:val="single" w:color="000000" w:sz="2" w:space="0"/>
              <w:left w:val="single" w:color="000000" w:sz="2" w:space="0"/>
              <w:bottom w:val="single" w:color="000000" w:sz="2" w:space="0"/>
              <w:right w:val="single" w:color="000000" w:sz="2" w:space="0"/>
            </w:tcBorders>
            <w:vAlign w:val="center"/>
          </w:tcPr>
          <w:p w14:paraId="2B002618">
            <w:pPr>
              <w:widowControl/>
              <w:kinsoku w:val="0"/>
              <w:autoSpaceDE w:val="0"/>
              <w:autoSpaceDN w:val="0"/>
              <w:adjustRightInd w:val="0"/>
              <w:snapToGrid w:val="0"/>
              <w:spacing w:before="56" w:line="360" w:lineRule="auto"/>
              <w:ind w:left="32"/>
              <w:textAlignment w:val="baseline"/>
              <w:rPr>
                <w:rFonts w:hint="eastAsia" w:ascii="宋体" w:hAnsi="宋体" w:eastAsia="宋体"/>
                <w:color w:val="000000"/>
                <w:kern w:val="0"/>
                <w:sz w:val="20"/>
                <w:szCs w:val="21"/>
              </w:rPr>
            </w:pPr>
            <w:r>
              <w:rPr>
                <w:rFonts w:hint="eastAsia" w:ascii="宋体" w:hAnsi="宋体" w:eastAsia="宋体"/>
                <w:color w:val="000000"/>
                <w:kern w:val="0"/>
                <w:sz w:val="20"/>
                <w:szCs w:val="21"/>
              </w:rPr>
              <w:t>严格遵守采购人的要求及相关</w:t>
            </w:r>
            <w:r>
              <w:rPr>
                <w:rFonts w:hint="eastAsia" w:ascii="宋体" w:hAnsi="宋体" w:eastAsia="宋体"/>
                <w:color w:val="000000"/>
                <w:spacing w:val="-11"/>
                <w:kern w:val="0"/>
                <w:sz w:val="20"/>
                <w:szCs w:val="21"/>
              </w:rPr>
              <w:t>制度，确保资料摆放整洁有序，</w:t>
            </w:r>
            <w:r>
              <w:rPr>
                <w:rFonts w:hint="eastAsia" w:ascii="宋体" w:hAnsi="宋体" w:eastAsia="宋体"/>
                <w:color w:val="000000"/>
                <w:kern w:val="0"/>
                <w:sz w:val="20"/>
                <w:szCs w:val="21"/>
              </w:rPr>
              <w:t>每月必须对仓库内环境卫生以及物品、车辆外观进行全面清</w:t>
            </w:r>
            <w:r>
              <w:rPr>
                <w:rFonts w:hint="eastAsia" w:ascii="宋体" w:hAnsi="宋体" w:eastAsia="宋体"/>
                <w:color w:val="000000"/>
                <w:spacing w:val="-2"/>
                <w:kern w:val="0"/>
                <w:sz w:val="20"/>
                <w:szCs w:val="21"/>
              </w:rPr>
              <w:t>洁，做好仓库的防潮、防鼠、</w:t>
            </w:r>
            <w:r>
              <w:rPr>
                <w:rFonts w:hint="eastAsia" w:ascii="宋体" w:hAnsi="宋体" w:eastAsia="宋体"/>
                <w:color w:val="000000"/>
                <w:kern w:val="0"/>
                <w:sz w:val="20"/>
                <w:szCs w:val="21"/>
              </w:rPr>
              <w:t>防盗、防火、防自然灾害等工</w:t>
            </w:r>
            <w:r>
              <w:rPr>
                <w:rFonts w:hint="eastAsia" w:ascii="宋体" w:hAnsi="宋体" w:eastAsia="宋体"/>
                <w:color w:val="000000"/>
                <w:spacing w:val="-4"/>
                <w:kern w:val="0"/>
                <w:sz w:val="20"/>
                <w:szCs w:val="21"/>
              </w:rPr>
              <w:t>作，保证仓储物品完好</w:t>
            </w:r>
          </w:p>
        </w:tc>
        <w:tc>
          <w:tcPr>
            <w:tcW w:w="2911" w:type="dxa"/>
            <w:tcBorders>
              <w:top w:val="single" w:color="000000" w:sz="2" w:space="0"/>
              <w:left w:val="single" w:color="000000" w:sz="2" w:space="0"/>
              <w:bottom w:val="single" w:color="000000" w:sz="2" w:space="0"/>
              <w:right w:val="single" w:color="000000" w:sz="2" w:space="0"/>
            </w:tcBorders>
            <w:vAlign w:val="center"/>
          </w:tcPr>
          <w:p w14:paraId="3FC21E64">
            <w:pPr>
              <w:widowControl/>
              <w:kinsoku w:val="0"/>
              <w:autoSpaceDE w:val="0"/>
              <w:autoSpaceDN w:val="0"/>
              <w:adjustRightInd w:val="0"/>
              <w:snapToGrid w:val="0"/>
              <w:spacing w:before="68" w:line="360" w:lineRule="auto"/>
              <w:textAlignment w:val="baseline"/>
              <w:rPr>
                <w:rFonts w:hint="eastAsia" w:ascii="宋体" w:hAnsi="宋体" w:eastAsia="宋体"/>
                <w:color w:val="000000"/>
                <w:kern w:val="0"/>
                <w:sz w:val="20"/>
                <w:szCs w:val="21"/>
              </w:rPr>
            </w:pPr>
            <w:r>
              <w:rPr>
                <w:rFonts w:hint="eastAsia" w:ascii="宋体" w:hAnsi="宋体" w:eastAsia="宋体"/>
                <w:color w:val="000000"/>
                <w:spacing w:val="-2"/>
                <w:kern w:val="0"/>
                <w:sz w:val="20"/>
                <w:szCs w:val="21"/>
              </w:rPr>
              <w:t>发现档案有部分损坏/遗失（需</w:t>
            </w:r>
          </w:p>
          <w:p w14:paraId="1514BA99">
            <w:pPr>
              <w:widowControl/>
              <w:kinsoku w:val="0"/>
              <w:autoSpaceDE w:val="0"/>
              <w:autoSpaceDN w:val="0"/>
              <w:adjustRightInd w:val="0"/>
              <w:snapToGrid w:val="0"/>
              <w:spacing w:before="48" w:line="360" w:lineRule="auto"/>
              <w:ind w:left="34"/>
              <w:textAlignment w:val="baseline"/>
              <w:rPr>
                <w:rFonts w:hint="eastAsia" w:ascii="宋体" w:hAnsi="宋体" w:eastAsia="宋体"/>
                <w:color w:val="000000"/>
                <w:kern w:val="0"/>
                <w:sz w:val="20"/>
                <w:szCs w:val="21"/>
              </w:rPr>
            </w:pPr>
            <w:r>
              <w:rPr>
                <w:rFonts w:hint="eastAsia" w:ascii="宋体" w:hAnsi="宋体" w:eastAsia="宋体"/>
                <w:color w:val="000000"/>
                <w:spacing w:val="-9"/>
                <w:kern w:val="0"/>
                <w:sz w:val="20"/>
                <w:szCs w:val="21"/>
              </w:rPr>
              <w:t>按合同赔偿）且每箱扣10分；若保管不妥当，如造成采购人较大影响（如整箱破损或泡</w:t>
            </w:r>
            <w:r>
              <w:rPr>
                <w:rFonts w:hint="eastAsia" w:ascii="宋体" w:hAnsi="宋体" w:eastAsia="宋体"/>
                <w:color w:val="000000"/>
                <w:spacing w:val="-6"/>
                <w:kern w:val="0"/>
                <w:sz w:val="20"/>
                <w:szCs w:val="21"/>
              </w:rPr>
              <w:t>水，导致资料不可用等情况）或有其余影响造成</w:t>
            </w:r>
            <w:r>
              <w:rPr>
                <w:rFonts w:hint="eastAsia" w:ascii="宋体" w:hAnsi="宋体" w:eastAsia="宋体"/>
                <w:color w:val="000000"/>
                <w:spacing w:val="-4"/>
                <w:kern w:val="0"/>
                <w:sz w:val="20"/>
                <w:szCs w:val="21"/>
              </w:rPr>
              <w:t>投诉每次扣15分</w:t>
            </w:r>
          </w:p>
        </w:tc>
        <w:tc>
          <w:tcPr>
            <w:tcW w:w="995" w:type="dxa"/>
            <w:tcBorders>
              <w:top w:val="single" w:color="000000" w:sz="2" w:space="0"/>
              <w:left w:val="single" w:color="000000" w:sz="2" w:space="0"/>
              <w:bottom w:val="single" w:color="000000" w:sz="2" w:space="0"/>
              <w:right w:val="single" w:color="000000" w:sz="2" w:space="0"/>
            </w:tcBorders>
          </w:tcPr>
          <w:p w14:paraId="57473202">
            <w:pPr>
              <w:widowControl/>
              <w:kinsoku w:val="0"/>
              <w:autoSpaceDE w:val="0"/>
              <w:autoSpaceDN w:val="0"/>
              <w:adjustRightInd w:val="0"/>
              <w:snapToGrid w:val="0"/>
              <w:spacing w:line="360" w:lineRule="auto"/>
              <w:jc w:val="left"/>
              <w:textAlignment w:val="baseline"/>
              <w:rPr>
                <w:rFonts w:ascii="Arial" w:hAnsi="Arial" w:eastAsia="宋体" w:cs="Arial"/>
                <w:color w:val="000000"/>
                <w:kern w:val="0"/>
                <w:sz w:val="20"/>
                <w:szCs w:val="21"/>
              </w:rPr>
            </w:pPr>
          </w:p>
        </w:tc>
      </w:tr>
      <w:tr w14:paraId="4F2D8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tcBorders>
              <w:top w:val="single" w:color="000000" w:sz="2" w:space="0"/>
              <w:left w:val="single" w:color="000000" w:sz="2" w:space="0"/>
              <w:bottom w:val="nil"/>
              <w:right w:val="single" w:color="000000" w:sz="2" w:space="0"/>
            </w:tcBorders>
            <w:vAlign w:val="center"/>
          </w:tcPr>
          <w:p w14:paraId="48C4EC2F">
            <w:pPr>
              <w:widowControl/>
              <w:kinsoku w:val="0"/>
              <w:autoSpaceDE w:val="0"/>
              <w:autoSpaceDN w:val="0"/>
              <w:adjustRightInd w:val="0"/>
              <w:snapToGrid w:val="0"/>
              <w:spacing w:before="68" w:line="360" w:lineRule="auto"/>
              <w:jc w:val="center"/>
              <w:textAlignment w:val="baseline"/>
              <w:rPr>
                <w:rFonts w:hint="eastAsia" w:ascii="宋体" w:hAnsi="宋体" w:eastAsia="宋体"/>
                <w:color w:val="000000"/>
                <w:kern w:val="0"/>
                <w:sz w:val="20"/>
                <w:szCs w:val="21"/>
              </w:rPr>
            </w:pPr>
            <w:r>
              <w:rPr>
                <w:rFonts w:hint="eastAsia" w:ascii="宋体" w:hAnsi="宋体" w:eastAsia="宋体"/>
                <w:color w:val="000000"/>
                <w:kern w:val="0"/>
                <w:sz w:val="20"/>
                <w:szCs w:val="21"/>
              </w:rPr>
              <w:t>4</w:t>
            </w:r>
          </w:p>
        </w:tc>
        <w:tc>
          <w:tcPr>
            <w:tcW w:w="840" w:type="dxa"/>
            <w:tcBorders>
              <w:top w:val="single" w:color="000000" w:sz="2" w:space="0"/>
              <w:left w:val="single" w:color="000000" w:sz="2" w:space="0"/>
              <w:bottom w:val="nil"/>
              <w:right w:val="single" w:color="000000" w:sz="2" w:space="0"/>
            </w:tcBorders>
            <w:vAlign w:val="center"/>
          </w:tcPr>
          <w:p w14:paraId="45A5900E">
            <w:pPr>
              <w:widowControl/>
              <w:kinsoku w:val="0"/>
              <w:autoSpaceDE w:val="0"/>
              <w:autoSpaceDN w:val="0"/>
              <w:adjustRightInd w:val="0"/>
              <w:snapToGrid w:val="0"/>
              <w:spacing w:before="58" w:line="360" w:lineRule="auto"/>
              <w:textAlignment w:val="baseline"/>
              <w:rPr>
                <w:rFonts w:hint="eastAsia" w:ascii="宋体" w:hAnsi="宋体" w:eastAsia="宋体"/>
                <w:color w:val="000000"/>
                <w:spacing w:val="-1"/>
                <w:kern w:val="0"/>
                <w:sz w:val="20"/>
                <w:szCs w:val="21"/>
              </w:rPr>
            </w:pPr>
            <w:r>
              <w:rPr>
                <w:rFonts w:hint="eastAsia" w:ascii="宋体" w:hAnsi="宋体" w:eastAsia="宋体"/>
                <w:color w:val="000000"/>
                <w:spacing w:val="-1"/>
                <w:kern w:val="0"/>
                <w:sz w:val="20"/>
                <w:szCs w:val="21"/>
              </w:rPr>
              <w:t>人员配备</w:t>
            </w:r>
          </w:p>
        </w:tc>
        <w:tc>
          <w:tcPr>
            <w:tcW w:w="3180" w:type="dxa"/>
            <w:tcBorders>
              <w:top w:val="single" w:color="000000" w:sz="2" w:space="0"/>
              <w:left w:val="single" w:color="000000" w:sz="2" w:space="0"/>
              <w:bottom w:val="nil"/>
              <w:right w:val="single" w:color="000000" w:sz="2" w:space="0"/>
            </w:tcBorders>
            <w:vAlign w:val="center"/>
          </w:tcPr>
          <w:p w14:paraId="7B943FC6">
            <w:pPr>
              <w:widowControl/>
              <w:kinsoku w:val="0"/>
              <w:autoSpaceDE w:val="0"/>
              <w:autoSpaceDN w:val="0"/>
              <w:adjustRightInd w:val="0"/>
              <w:snapToGrid w:val="0"/>
              <w:spacing w:before="58" w:line="360" w:lineRule="auto"/>
              <w:ind w:right="72"/>
              <w:textAlignment w:val="baseline"/>
              <w:rPr>
                <w:rFonts w:hint="eastAsia" w:ascii="宋体" w:hAnsi="宋体" w:eastAsia="宋体"/>
                <w:color w:val="000000"/>
                <w:spacing w:val="-1"/>
                <w:kern w:val="0"/>
                <w:sz w:val="20"/>
                <w:szCs w:val="21"/>
              </w:rPr>
            </w:pPr>
            <w:r>
              <w:rPr>
                <w:rFonts w:hint="eastAsia" w:ascii="宋体" w:hAnsi="宋体" w:eastAsia="宋体"/>
                <w:color w:val="000000"/>
                <w:spacing w:val="-1"/>
                <w:kern w:val="0"/>
                <w:sz w:val="20"/>
                <w:szCs w:val="21"/>
              </w:rPr>
              <w:t>合同期内，供应商不得擅自更换本项目的首次确认的档案交接人员名单；如确需变动，须事先经采购人各使用科室以微信、短信、电子邮件等任一种可溯查方式确认后方可调整。</w:t>
            </w:r>
          </w:p>
        </w:tc>
        <w:tc>
          <w:tcPr>
            <w:tcW w:w="2911" w:type="dxa"/>
            <w:tcBorders>
              <w:top w:val="single" w:color="000000" w:sz="2" w:space="0"/>
              <w:left w:val="single" w:color="000000" w:sz="2" w:space="0"/>
              <w:bottom w:val="nil"/>
              <w:right w:val="single" w:color="000000" w:sz="2" w:space="0"/>
            </w:tcBorders>
            <w:vAlign w:val="center"/>
          </w:tcPr>
          <w:p w14:paraId="015F9535">
            <w:pPr>
              <w:widowControl/>
              <w:kinsoku w:val="0"/>
              <w:autoSpaceDE w:val="0"/>
              <w:autoSpaceDN w:val="0"/>
              <w:adjustRightInd w:val="0"/>
              <w:snapToGrid w:val="0"/>
              <w:spacing w:before="58" w:line="360" w:lineRule="auto"/>
              <w:textAlignment w:val="baseline"/>
              <w:rPr>
                <w:rFonts w:hint="eastAsia" w:ascii="宋体" w:hAnsi="宋体" w:eastAsia="宋体"/>
                <w:color w:val="000000"/>
                <w:kern w:val="0"/>
                <w:sz w:val="20"/>
                <w:szCs w:val="21"/>
              </w:rPr>
            </w:pPr>
            <w:r>
              <w:rPr>
                <w:rFonts w:hint="eastAsia" w:ascii="宋体" w:hAnsi="宋体" w:eastAsia="宋体"/>
                <w:color w:val="000000"/>
                <w:spacing w:val="-1"/>
                <w:kern w:val="0"/>
                <w:sz w:val="20"/>
                <w:szCs w:val="21"/>
              </w:rPr>
              <w:t>发现未按合同要求配备档案交接工作人员或人员变动未经采购人各使用科室同</w:t>
            </w:r>
            <w:r>
              <w:rPr>
                <w:rFonts w:hint="eastAsia" w:ascii="宋体" w:hAnsi="宋体" w:eastAsia="宋体"/>
                <w:color w:val="000000"/>
                <w:spacing w:val="-3"/>
                <w:kern w:val="0"/>
                <w:sz w:val="20"/>
                <w:szCs w:val="21"/>
              </w:rPr>
              <w:t>意每次每人扣3分</w:t>
            </w:r>
          </w:p>
        </w:tc>
        <w:tc>
          <w:tcPr>
            <w:tcW w:w="995" w:type="dxa"/>
            <w:tcBorders>
              <w:top w:val="single" w:color="000000" w:sz="2" w:space="0"/>
              <w:left w:val="single" w:color="000000" w:sz="2" w:space="0"/>
              <w:bottom w:val="nil"/>
              <w:right w:val="single" w:color="000000" w:sz="2" w:space="0"/>
            </w:tcBorders>
          </w:tcPr>
          <w:p w14:paraId="4AEBB28C">
            <w:pPr>
              <w:widowControl/>
              <w:kinsoku w:val="0"/>
              <w:autoSpaceDE w:val="0"/>
              <w:autoSpaceDN w:val="0"/>
              <w:adjustRightInd w:val="0"/>
              <w:snapToGrid w:val="0"/>
              <w:spacing w:line="360" w:lineRule="auto"/>
              <w:jc w:val="left"/>
              <w:textAlignment w:val="baseline"/>
              <w:rPr>
                <w:rFonts w:ascii="Arial" w:hAnsi="Arial" w:eastAsia="宋体" w:cs="Arial"/>
                <w:color w:val="000000"/>
                <w:kern w:val="0"/>
                <w:sz w:val="20"/>
                <w:szCs w:val="21"/>
              </w:rPr>
            </w:pPr>
          </w:p>
        </w:tc>
      </w:tr>
      <w:tr w14:paraId="473D2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5" w:hRule="atLeast"/>
        </w:trPr>
        <w:tc>
          <w:tcPr>
            <w:tcW w:w="578" w:type="dxa"/>
            <w:tcBorders>
              <w:top w:val="single" w:color="000000" w:sz="2" w:space="0"/>
              <w:left w:val="single" w:color="000000" w:sz="2" w:space="0"/>
              <w:bottom w:val="single" w:color="000000" w:sz="2" w:space="0"/>
              <w:right w:val="single" w:color="000000" w:sz="2" w:space="0"/>
            </w:tcBorders>
            <w:vAlign w:val="center"/>
          </w:tcPr>
          <w:p w14:paraId="21090328">
            <w:pPr>
              <w:widowControl/>
              <w:kinsoku w:val="0"/>
              <w:autoSpaceDE w:val="0"/>
              <w:autoSpaceDN w:val="0"/>
              <w:adjustRightInd w:val="0"/>
              <w:snapToGrid w:val="0"/>
              <w:spacing w:before="68" w:line="360" w:lineRule="auto"/>
              <w:ind w:left="245"/>
              <w:textAlignment w:val="baseline"/>
              <w:rPr>
                <w:rFonts w:hint="eastAsia" w:ascii="宋体" w:hAnsi="宋体" w:eastAsia="宋体"/>
                <w:color w:val="000000"/>
                <w:kern w:val="0"/>
                <w:sz w:val="20"/>
                <w:szCs w:val="21"/>
              </w:rPr>
            </w:pPr>
            <w:r>
              <w:rPr>
                <w:rFonts w:hint="eastAsia" w:ascii="宋体" w:hAnsi="宋体" w:eastAsia="宋体"/>
                <w:color w:val="000000"/>
                <w:kern w:val="0"/>
                <w:sz w:val="20"/>
                <w:szCs w:val="21"/>
              </w:rPr>
              <w:t>5</w:t>
            </w:r>
          </w:p>
        </w:tc>
        <w:tc>
          <w:tcPr>
            <w:tcW w:w="840" w:type="dxa"/>
            <w:tcBorders>
              <w:top w:val="single" w:color="000000" w:sz="2" w:space="0"/>
              <w:left w:val="single" w:color="000000" w:sz="2" w:space="0"/>
              <w:bottom w:val="single" w:color="000000" w:sz="2" w:space="0"/>
              <w:right w:val="single" w:color="000000" w:sz="2" w:space="0"/>
            </w:tcBorders>
            <w:vAlign w:val="center"/>
          </w:tcPr>
          <w:p w14:paraId="71CAC88E">
            <w:pPr>
              <w:widowControl/>
              <w:kinsoku w:val="0"/>
              <w:autoSpaceDE w:val="0"/>
              <w:autoSpaceDN w:val="0"/>
              <w:adjustRightInd w:val="0"/>
              <w:snapToGrid w:val="0"/>
              <w:spacing w:before="68" w:line="360" w:lineRule="auto"/>
              <w:ind w:left="74" w:right="63"/>
              <w:textAlignment w:val="baseline"/>
              <w:rPr>
                <w:rFonts w:hint="eastAsia" w:ascii="宋体" w:hAnsi="宋体" w:eastAsia="宋体"/>
                <w:color w:val="000000"/>
                <w:kern w:val="0"/>
                <w:sz w:val="20"/>
                <w:szCs w:val="21"/>
              </w:rPr>
            </w:pPr>
            <w:r>
              <w:rPr>
                <w:rFonts w:hint="eastAsia" w:ascii="宋体" w:hAnsi="宋体" w:eastAsia="宋体"/>
                <w:color w:val="000000"/>
                <w:spacing w:val="-2"/>
                <w:kern w:val="0"/>
                <w:sz w:val="20"/>
                <w:szCs w:val="21"/>
              </w:rPr>
              <w:t>人员保密纪</w:t>
            </w:r>
            <w:r>
              <w:rPr>
                <w:rFonts w:hint="eastAsia" w:ascii="宋体" w:hAnsi="宋体" w:eastAsia="宋体"/>
                <w:color w:val="000000"/>
                <w:kern w:val="0"/>
                <w:sz w:val="20"/>
                <w:szCs w:val="21"/>
              </w:rPr>
              <w:t>律</w:t>
            </w:r>
          </w:p>
        </w:tc>
        <w:tc>
          <w:tcPr>
            <w:tcW w:w="3180" w:type="dxa"/>
            <w:tcBorders>
              <w:top w:val="single" w:color="000000" w:sz="2" w:space="0"/>
              <w:left w:val="single" w:color="000000" w:sz="2" w:space="0"/>
              <w:bottom w:val="single" w:color="000000" w:sz="2" w:space="0"/>
              <w:right w:val="single" w:color="000000" w:sz="2" w:space="0"/>
            </w:tcBorders>
            <w:vAlign w:val="center"/>
          </w:tcPr>
          <w:p w14:paraId="0B7CE42E">
            <w:pPr>
              <w:widowControl/>
              <w:kinsoku w:val="0"/>
              <w:autoSpaceDE w:val="0"/>
              <w:autoSpaceDN w:val="0"/>
              <w:adjustRightInd w:val="0"/>
              <w:snapToGrid w:val="0"/>
              <w:spacing w:before="69" w:line="360" w:lineRule="auto"/>
              <w:ind w:left="35" w:right="24"/>
              <w:textAlignment w:val="baseline"/>
              <w:rPr>
                <w:rFonts w:hint="eastAsia" w:ascii="宋体" w:hAnsi="宋体" w:eastAsia="宋体"/>
                <w:color w:val="000000"/>
                <w:kern w:val="0"/>
                <w:sz w:val="20"/>
                <w:szCs w:val="21"/>
              </w:rPr>
            </w:pPr>
            <w:r>
              <w:rPr>
                <w:rFonts w:hint="eastAsia" w:ascii="宋体" w:hAnsi="宋体" w:eastAsia="宋体"/>
                <w:color w:val="000000"/>
                <w:spacing w:val="2"/>
                <w:kern w:val="0"/>
                <w:sz w:val="20"/>
                <w:szCs w:val="21"/>
              </w:rPr>
              <w:t>人员纪律良好，无违反相关管</w:t>
            </w:r>
            <w:r>
              <w:rPr>
                <w:rFonts w:hint="eastAsia" w:ascii="宋体" w:hAnsi="宋体" w:eastAsia="宋体"/>
                <w:color w:val="000000"/>
                <w:spacing w:val="-2"/>
                <w:kern w:val="0"/>
                <w:sz w:val="20"/>
                <w:szCs w:val="21"/>
              </w:rPr>
              <w:t>理规定</w:t>
            </w:r>
          </w:p>
        </w:tc>
        <w:tc>
          <w:tcPr>
            <w:tcW w:w="2911" w:type="dxa"/>
            <w:tcBorders>
              <w:top w:val="single" w:color="000000" w:sz="2" w:space="0"/>
              <w:left w:val="single" w:color="000000" w:sz="2" w:space="0"/>
              <w:bottom w:val="single" w:color="000000" w:sz="2" w:space="0"/>
              <w:right w:val="single" w:color="000000" w:sz="2" w:space="0"/>
            </w:tcBorders>
            <w:vAlign w:val="center"/>
          </w:tcPr>
          <w:p w14:paraId="514A5E19">
            <w:pPr>
              <w:widowControl/>
              <w:kinsoku w:val="0"/>
              <w:autoSpaceDE w:val="0"/>
              <w:autoSpaceDN w:val="0"/>
              <w:adjustRightInd w:val="0"/>
              <w:snapToGrid w:val="0"/>
              <w:spacing w:before="62" w:line="360" w:lineRule="auto"/>
              <w:ind w:left="99"/>
              <w:textAlignment w:val="baseline"/>
              <w:rPr>
                <w:rFonts w:hint="eastAsia" w:ascii="宋体" w:hAnsi="宋体" w:eastAsia="宋体"/>
                <w:color w:val="000000"/>
                <w:kern w:val="0"/>
                <w:sz w:val="20"/>
                <w:szCs w:val="21"/>
              </w:rPr>
            </w:pPr>
            <w:r>
              <w:rPr>
                <w:rFonts w:hint="eastAsia" w:ascii="宋体" w:hAnsi="宋体" w:eastAsia="宋体"/>
                <w:color w:val="000000"/>
                <w:spacing w:val="-1"/>
                <w:kern w:val="0"/>
                <w:sz w:val="20"/>
                <w:szCs w:val="21"/>
              </w:rPr>
              <w:t>发现人员违反相关管理规定但没有造成影响，每次每人扣3</w:t>
            </w:r>
            <w:r>
              <w:rPr>
                <w:rFonts w:hint="eastAsia" w:ascii="宋体" w:hAnsi="宋体" w:eastAsia="宋体"/>
                <w:color w:val="000000"/>
                <w:spacing w:val="-3"/>
                <w:kern w:val="0"/>
                <w:sz w:val="20"/>
                <w:szCs w:val="21"/>
              </w:rPr>
              <w:t>分，如人员</w:t>
            </w:r>
            <w:r>
              <w:rPr>
                <w:rFonts w:hint="eastAsia" w:ascii="宋体" w:hAnsi="宋体" w:eastAsia="宋体"/>
                <w:color w:val="000000"/>
                <w:spacing w:val="-1"/>
                <w:kern w:val="0"/>
                <w:sz w:val="20"/>
                <w:szCs w:val="21"/>
              </w:rPr>
              <w:t>违反相关管理规定或其行为造</w:t>
            </w:r>
            <w:r>
              <w:rPr>
                <w:rFonts w:hint="eastAsia" w:ascii="宋体" w:hAnsi="宋体" w:eastAsia="宋体"/>
                <w:color w:val="000000"/>
                <w:spacing w:val="-7"/>
                <w:kern w:val="0"/>
                <w:sz w:val="20"/>
                <w:szCs w:val="21"/>
              </w:rPr>
              <w:t>成较大影响（如资料保管员拍摄</w:t>
            </w:r>
            <w:r>
              <w:rPr>
                <w:rFonts w:hint="eastAsia" w:ascii="宋体" w:hAnsi="宋体" w:eastAsia="宋体"/>
                <w:color w:val="000000"/>
                <w:spacing w:val="-2"/>
                <w:kern w:val="0"/>
                <w:sz w:val="20"/>
                <w:szCs w:val="21"/>
              </w:rPr>
              <w:t>资料信息售卖导致信息流出引</w:t>
            </w:r>
            <w:r>
              <w:rPr>
                <w:rFonts w:hint="eastAsia" w:ascii="宋体" w:hAnsi="宋体" w:eastAsia="宋体"/>
                <w:color w:val="000000"/>
                <w:spacing w:val="-1"/>
                <w:kern w:val="0"/>
                <w:sz w:val="20"/>
                <w:szCs w:val="21"/>
              </w:rPr>
              <w:t>起投诉纠纷或不可公开的数据</w:t>
            </w:r>
            <w:r>
              <w:rPr>
                <w:rFonts w:hint="eastAsia" w:ascii="宋体" w:hAnsi="宋体" w:eastAsia="宋体"/>
                <w:color w:val="000000"/>
                <w:spacing w:val="-3"/>
                <w:kern w:val="0"/>
                <w:sz w:val="20"/>
                <w:szCs w:val="21"/>
              </w:rPr>
              <w:t>被公开等情况）每次每人扣10</w:t>
            </w:r>
            <w:r>
              <w:rPr>
                <w:rFonts w:hint="eastAsia" w:ascii="宋体" w:hAnsi="宋体" w:eastAsia="宋体"/>
                <w:color w:val="000000"/>
                <w:spacing w:val="-5"/>
                <w:kern w:val="0"/>
                <w:sz w:val="20"/>
                <w:szCs w:val="21"/>
              </w:rPr>
              <w:t>分</w:t>
            </w:r>
          </w:p>
        </w:tc>
        <w:tc>
          <w:tcPr>
            <w:tcW w:w="995" w:type="dxa"/>
            <w:tcBorders>
              <w:top w:val="single" w:color="000000" w:sz="2" w:space="0"/>
              <w:left w:val="single" w:color="000000" w:sz="2" w:space="0"/>
              <w:bottom w:val="single" w:color="000000" w:sz="2" w:space="0"/>
              <w:right w:val="single" w:color="000000" w:sz="2" w:space="0"/>
            </w:tcBorders>
          </w:tcPr>
          <w:p w14:paraId="2D08D76D">
            <w:pPr>
              <w:widowControl/>
              <w:kinsoku w:val="0"/>
              <w:autoSpaceDE w:val="0"/>
              <w:autoSpaceDN w:val="0"/>
              <w:adjustRightInd w:val="0"/>
              <w:snapToGrid w:val="0"/>
              <w:spacing w:line="360" w:lineRule="auto"/>
              <w:jc w:val="left"/>
              <w:textAlignment w:val="baseline"/>
              <w:rPr>
                <w:rFonts w:ascii="Arial" w:hAnsi="Arial" w:eastAsia="宋体" w:cs="Arial"/>
                <w:color w:val="000000"/>
                <w:kern w:val="0"/>
                <w:sz w:val="20"/>
                <w:szCs w:val="21"/>
              </w:rPr>
            </w:pPr>
          </w:p>
        </w:tc>
      </w:tr>
    </w:tbl>
    <w:p w14:paraId="10ABF26C">
      <w:pPr>
        <w:spacing w:line="360" w:lineRule="auto"/>
        <w:rPr>
          <w:rFonts w:hint="eastAsia" w:ascii="宋体" w:hAnsi="宋体" w:eastAsia="宋体"/>
          <w:color w:val="000000"/>
          <w:sz w:val="20"/>
        </w:rPr>
      </w:pPr>
      <w:r>
        <w:rPr>
          <w:rFonts w:hint="eastAsia" w:ascii="宋体" w:hAnsi="宋体" w:eastAsia="宋体"/>
          <w:color w:val="000000"/>
          <w:sz w:val="20"/>
        </w:rPr>
        <w:t>注：由采购人各使用科室对成交供应商每年独立考评1次，各科室评分基础分为100分，每个使用科室每次评价得分=基础分-扣分，每个科室评价得分达到80分及以上不扣服务费，低于80分每低1分扣当年总服务费的1％。若成交供应商在1个考核周期内发生一次得分在60分及以下或连续2个考核周期得分在70分及以下，采购人还有权终止合同，并有权没收成交供应商的履约保证金。</w:t>
      </w:r>
      <w:r>
        <w:rPr>
          <w:rFonts w:ascii="宋体" w:hAnsi="宋体" w:eastAsia="宋体"/>
          <w:color w:val="000000"/>
          <w:sz w:val="20"/>
        </w:rPr>
        <mc:AlternateContent>
          <mc:Choice Requires="wps">
            <w:drawing>
              <wp:anchor distT="0" distB="0" distL="114300" distR="114300" simplePos="0" relativeHeight="251660288" behindDoc="0" locked="0" layoutInCell="1" allowOverlap="1">
                <wp:simplePos x="0" y="0"/>
                <wp:positionH relativeFrom="page">
                  <wp:posOffset>3314700</wp:posOffset>
                </wp:positionH>
                <wp:positionV relativeFrom="paragraph">
                  <wp:posOffset>9677400</wp:posOffset>
                </wp:positionV>
                <wp:extent cx="1346200" cy="177800"/>
                <wp:effectExtent l="0" t="0" r="635" b="14605"/>
                <wp:wrapNone/>
                <wp:docPr id="3"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4C564">
                            <w:pPr>
                              <w:spacing w:line="360" w:lineRule="exact"/>
                              <w:jc w:val="center"/>
                              <w:rPr>
                                <w:rFonts w:hint="eastAsia"/>
                              </w:rPr>
                            </w:pPr>
                            <w:r>
                              <w:rPr>
                                <w:rFonts w:hint="eastAsia" w:ascii="宋体" w:hAnsi="宋体" w:eastAsia="宋体"/>
                                <w:color w:val="000000"/>
                                <w:sz w:val="16"/>
                              </w:rPr>
                              <w:t>第15页共35页</w:t>
                            </w:r>
                          </w:p>
                        </w:txbxContent>
                      </wps:txbx>
                      <wps:bodyPr lIns="25400" tIns="0" rIns="25400" bIns="0">
                        <a:noAutofit/>
                      </wps:bodyPr>
                    </wps:wsp>
                  </a:graphicData>
                </a:graphic>
              </wp:anchor>
            </w:drawing>
          </mc:Choice>
          <mc:Fallback>
            <w:pict>
              <v:shape id="文本框 2" o:spid="_x0000_s1026" o:spt="202" type="#_x0000_t202" style="position:absolute;left:0pt;margin-left:261pt;margin-top:762pt;height:14pt;width:106pt;mso-position-horizontal-relative:page;z-index:251660288;mso-width-relative:page;mso-height-relative:page;" filled="f" stroked="f" coordsize="21600,21600" o:gfxdata="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YL7dY2AAAAA0BAAAPAAAAAAAA&#10;AAEAIAAAACIAAABkcnMvZG93bnJldi54bWxQSwECFAAUAAAACACHTuJAuyrzqNkBAACeAwAADgAA&#10;AAAAAAABACAAAAAnAQAAZHJzL2Uyb0RvYy54bWxQSwUGAAAAAAYABgBZAQAAcgUAAAAA&#10;">
                <v:fill on="f" focussize="0,0"/>
                <v:stroke on="f" weight="0.5pt"/>
                <v:imagedata o:title=""/>
                <o:lock v:ext="edit" aspectratio="f"/>
                <v:textbox inset="2pt,0mm,2pt,0mm">
                  <w:txbxContent>
                    <w:p w14:paraId="7464C564">
                      <w:pPr>
                        <w:spacing w:line="360" w:lineRule="exact"/>
                        <w:jc w:val="center"/>
                        <w:rPr>
                          <w:rFonts w:hint="eastAsia"/>
                        </w:rPr>
                      </w:pPr>
                      <w:r>
                        <w:rPr>
                          <w:rFonts w:hint="eastAsia" w:ascii="宋体" w:hAnsi="宋体" w:eastAsia="宋体"/>
                          <w:color w:val="000000"/>
                          <w:sz w:val="16"/>
                        </w:rPr>
                        <w:t>第15页共35页</w:t>
                      </w:r>
                    </w:p>
                  </w:txbxContent>
                </v:textbox>
              </v:shape>
            </w:pict>
          </mc:Fallback>
        </mc:AlternateContent>
      </w:r>
    </w:p>
    <w:p w14:paraId="2F7FC884">
      <w:pPr>
        <w:spacing w:line="360" w:lineRule="auto"/>
        <w:rPr>
          <w:rFonts w:hint="eastAsia" w:ascii="宋体" w:hAnsi="宋体" w:eastAsia="宋体"/>
          <w:color w:val="000000"/>
          <w:sz w:val="24"/>
          <w:szCs w:val="20"/>
          <w:lang w:val="zh-CN"/>
        </w:rPr>
      </w:pPr>
      <w:r>
        <w:rPr>
          <w:rFonts w:hint="eastAsia" w:ascii="宋体" w:hAnsi="宋体" w:eastAsia="宋体"/>
          <w:color w:val="000000"/>
          <w:sz w:val="24"/>
          <w:szCs w:val="20"/>
          <w:lang w:val="zh-CN"/>
        </w:rPr>
        <w:t>使用科室：</w:t>
      </w:r>
      <w:r>
        <w:rPr>
          <w:rFonts w:hint="eastAsia" w:ascii="宋体" w:hAnsi="宋体" w:eastAsia="宋体"/>
          <w:color w:val="000000"/>
          <w:sz w:val="24"/>
          <w:szCs w:val="20"/>
          <w:u w:val="single"/>
          <w:lang w:val="zh-CN"/>
        </w:rPr>
        <w:t xml:space="preserve">                </w:t>
      </w:r>
      <w:r>
        <w:rPr>
          <w:rFonts w:ascii="宋体" w:hAnsi="宋体" w:eastAsia="宋体"/>
          <w:color w:val="000000"/>
          <w:sz w:val="24"/>
          <w:szCs w:val="20"/>
          <w:u w:val="single"/>
          <w:lang w:val="zh-CN"/>
        </w:rPr>
        <w:t xml:space="preserve"> </w:t>
      </w:r>
      <w:r>
        <w:rPr>
          <w:rFonts w:hint="eastAsia" w:ascii="宋体" w:hAnsi="宋体" w:eastAsia="宋体"/>
          <w:color w:val="000000"/>
          <w:sz w:val="24"/>
          <w:szCs w:val="20"/>
          <w:u w:val="single"/>
          <w:lang w:val="zh-CN"/>
        </w:rPr>
        <w:t xml:space="preserve">    </w:t>
      </w:r>
      <w:r>
        <w:rPr>
          <w:rFonts w:hint="eastAsia" w:ascii="宋体" w:hAnsi="宋体" w:eastAsia="宋体"/>
          <w:color w:val="000000"/>
          <w:sz w:val="24"/>
          <w:szCs w:val="20"/>
          <w:lang w:val="zh-CN"/>
        </w:rPr>
        <w:t xml:space="preserve">    年度最终得分：</w:t>
      </w:r>
      <w:r>
        <w:rPr>
          <w:rFonts w:hint="eastAsia" w:ascii="宋体" w:hAnsi="宋体" w:eastAsia="宋体"/>
          <w:color w:val="000000"/>
          <w:sz w:val="24"/>
          <w:szCs w:val="20"/>
          <w:u w:val="single"/>
          <w:lang w:val="zh-CN"/>
        </w:rPr>
        <w:t xml:space="preserve">                 </w:t>
      </w:r>
    </w:p>
    <w:p w14:paraId="543C3B08">
      <w:pPr>
        <w:spacing w:line="360" w:lineRule="auto"/>
        <w:rPr>
          <w:rFonts w:hint="eastAsia" w:ascii="宋体" w:hAnsi="宋体" w:eastAsia="宋体"/>
          <w:color w:val="000000"/>
          <w:sz w:val="24"/>
          <w:szCs w:val="20"/>
          <w:lang w:val="zh-CN"/>
        </w:rPr>
      </w:pPr>
      <w:r>
        <w:rPr>
          <w:rFonts w:hint="eastAsia" w:ascii="宋体" w:hAnsi="宋体" w:eastAsia="宋体"/>
          <w:color w:val="000000"/>
          <w:sz w:val="24"/>
          <w:szCs w:val="20"/>
          <w:lang w:val="zh-CN"/>
        </w:rPr>
        <w:t>评分人签名：</w:t>
      </w:r>
      <w:r>
        <w:rPr>
          <w:rFonts w:hint="eastAsia" w:ascii="宋体" w:hAnsi="宋体" w:eastAsia="宋体"/>
          <w:color w:val="000000"/>
          <w:sz w:val="24"/>
          <w:szCs w:val="20"/>
          <w:u w:val="single"/>
          <w:lang w:val="zh-CN"/>
        </w:rPr>
        <w:t xml:space="preserve">                   </w:t>
      </w:r>
      <w:r>
        <w:rPr>
          <w:rFonts w:hint="eastAsia" w:ascii="宋体" w:hAnsi="宋体" w:eastAsia="宋体"/>
          <w:color w:val="000000"/>
          <w:sz w:val="24"/>
          <w:szCs w:val="20"/>
          <w:lang w:val="zh-CN"/>
        </w:rPr>
        <w:t xml:space="preserve">    确认日期：</w:t>
      </w:r>
      <w:r>
        <w:rPr>
          <w:rFonts w:hint="eastAsia" w:ascii="宋体" w:hAnsi="宋体" w:eastAsia="宋体"/>
          <w:color w:val="000000"/>
          <w:sz w:val="24"/>
          <w:szCs w:val="20"/>
          <w:u w:val="single"/>
          <w:lang w:val="zh-CN"/>
        </w:rPr>
        <w:t xml:space="preserve">      </w:t>
      </w:r>
      <w:r>
        <w:rPr>
          <w:rFonts w:ascii="宋体" w:hAnsi="宋体" w:eastAsia="宋体"/>
          <w:color w:val="000000"/>
          <w:sz w:val="24"/>
          <w:szCs w:val="20"/>
          <w:u w:val="single"/>
          <w:lang w:val="zh-CN"/>
        </w:rPr>
        <w:t xml:space="preserve">        </w:t>
      </w:r>
      <w:r>
        <w:rPr>
          <w:rFonts w:hint="eastAsia" w:ascii="宋体" w:hAnsi="宋体" w:eastAsia="宋体"/>
          <w:color w:val="000000"/>
          <w:sz w:val="24"/>
          <w:szCs w:val="20"/>
          <w:u w:val="single"/>
          <w:lang w:val="zh-CN"/>
        </w:rPr>
        <w:t xml:space="preserve">       </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UI Emoji">
    <w:panose1 w:val="020B0502040204020203"/>
    <w:charset w:val="00"/>
    <w:family w:val="swiss"/>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277BE">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C76E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EC76E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7DBFC0"/>
    <w:multiLevelType w:val="singleLevel"/>
    <w:tmpl w:val="B17DBFC0"/>
    <w:lvl w:ilvl="0" w:tentative="0">
      <w:start w:val="1"/>
      <w:numFmt w:val="decimal"/>
      <w:lvlText w:val="%1."/>
      <w:lvlJc w:val="left"/>
      <w:pPr>
        <w:ind w:left="425" w:hanging="425"/>
      </w:pPr>
      <w:rPr>
        <w:rFonts w:hint="default"/>
      </w:rPr>
    </w:lvl>
  </w:abstractNum>
  <w:abstractNum w:abstractNumId="1">
    <w:nsid w:val="BAAE65CD"/>
    <w:multiLevelType w:val="singleLevel"/>
    <w:tmpl w:val="BAAE65CD"/>
    <w:lvl w:ilvl="0" w:tentative="0">
      <w:start w:val="1"/>
      <w:numFmt w:val="decimal"/>
      <w:lvlText w:val="%1."/>
      <w:lvlJc w:val="left"/>
      <w:pPr>
        <w:ind w:left="425" w:hanging="425"/>
      </w:pPr>
      <w:rPr>
        <w:rFonts w:hint="default"/>
      </w:rPr>
    </w:lvl>
  </w:abstractNum>
  <w:abstractNum w:abstractNumId="2">
    <w:nsid w:val="C815C985"/>
    <w:multiLevelType w:val="singleLevel"/>
    <w:tmpl w:val="C815C985"/>
    <w:lvl w:ilvl="0" w:tentative="0">
      <w:start w:val="1"/>
      <w:numFmt w:val="decimal"/>
      <w:lvlText w:val="%1."/>
      <w:lvlJc w:val="left"/>
      <w:pPr>
        <w:ind w:left="425" w:hanging="425"/>
      </w:pPr>
      <w:rPr>
        <w:rFonts w:hint="default"/>
      </w:rPr>
    </w:lvl>
  </w:abstractNum>
  <w:abstractNum w:abstractNumId="3">
    <w:nsid w:val="E11CC228"/>
    <w:multiLevelType w:val="singleLevel"/>
    <w:tmpl w:val="E11CC228"/>
    <w:lvl w:ilvl="0" w:tentative="0">
      <w:start w:val="1"/>
      <w:numFmt w:val="decimal"/>
      <w:lvlText w:val="%1."/>
      <w:lvlJc w:val="left"/>
      <w:pPr>
        <w:ind w:left="425" w:hanging="425"/>
      </w:pPr>
      <w:rPr>
        <w:rFonts w:hint="default"/>
      </w:rPr>
    </w:lvl>
  </w:abstractNum>
  <w:abstractNum w:abstractNumId="4">
    <w:nsid w:val="E404705D"/>
    <w:multiLevelType w:val="singleLevel"/>
    <w:tmpl w:val="E404705D"/>
    <w:lvl w:ilvl="0" w:tentative="0">
      <w:start w:val="1"/>
      <w:numFmt w:val="decimal"/>
      <w:lvlText w:val="%1."/>
      <w:lvlJc w:val="left"/>
      <w:pPr>
        <w:ind w:left="425" w:hanging="425"/>
      </w:pPr>
      <w:rPr>
        <w:rFonts w:hint="default"/>
      </w:rPr>
    </w:lvl>
  </w:abstractNum>
  <w:abstractNum w:abstractNumId="5">
    <w:nsid w:val="058A206C"/>
    <w:multiLevelType w:val="singleLevel"/>
    <w:tmpl w:val="058A206C"/>
    <w:lvl w:ilvl="0" w:tentative="0">
      <w:start w:val="1"/>
      <w:numFmt w:val="decimal"/>
      <w:lvlText w:val="%1."/>
      <w:lvlJc w:val="left"/>
      <w:pPr>
        <w:ind w:left="425" w:hanging="425"/>
      </w:pPr>
      <w:rPr>
        <w:rFonts w:hint="default"/>
      </w:rPr>
    </w:lvl>
  </w:abstractNum>
  <w:abstractNum w:abstractNumId="6">
    <w:nsid w:val="2DBD1371"/>
    <w:multiLevelType w:val="singleLevel"/>
    <w:tmpl w:val="2DBD1371"/>
    <w:lvl w:ilvl="0" w:tentative="0">
      <w:start w:val="1"/>
      <w:numFmt w:val="decimal"/>
      <w:lvlText w:val="%1."/>
      <w:lvlJc w:val="left"/>
      <w:pPr>
        <w:ind w:left="425" w:hanging="425"/>
      </w:pPr>
      <w:rPr>
        <w:rFonts w:hint="default"/>
      </w:rPr>
    </w:lvl>
  </w:abstractNum>
  <w:abstractNum w:abstractNumId="7">
    <w:nsid w:val="645C5C3E"/>
    <w:multiLevelType w:val="singleLevel"/>
    <w:tmpl w:val="645C5C3E"/>
    <w:lvl w:ilvl="0" w:tentative="0">
      <w:start w:val="1"/>
      <w:numFmt w:val="decimal"/>
      <w:lvlText w:val="%1."/>
      <w:lvlJc w:val="left"/>
      <w:pPr>
        <w:ind w:left="425" w:hanging="425"/>
      </w:pPr>
      <w:rPr>
        <w:rFonts w:hint="default"/>
      </w:rPr>
    </w:lvl>
  </w:abstractNum>
  <w:abstractNum w:abstractNumId="8">
    <w:nsid w:val="75D5F10E"/>
    <w:multiLevelType w:val="singleLevel"/>
    <w:tmpl w:val="75D5F10E"/>
    <w:lvl w:ilvl="0" w:tentative="0">
      <w:start w:val="1"/>
      <w:numFmt w:val="decimal"/>
      <w:lvlText w:val="%1."/>
      <w:lvlJc w:val="left"/>
      <w:pPr>
        <w:ind w:left="425" w:hanging="425"/>
      </w:pPr>
      <w:rPr>
        <w:rFonts w:hint="default"/>
      </w:rPr>
    </w:lvl>
  </w:abstractNum>
  <w:num w:numId="1">
    <w:abstractNumId w:val="3"/>
  </w:num>
  <w:num w:numId="2">
    <w:abstractNumId w:val="0"/>
  </w:num>
  <w:num w:numId="3">
    <w:abstractNumId w:val="4"/>
  </w:num>
  <w:num w:numId="4">
    <w:abstractNumId w:val="1"/>
  </w:num>
  <w:num w:numId="5">
    <w:abstractNumId w:val="8"/>
  </w:num>
  <w:num w:numId="6">
    <w:abstractNumId w:val="7"/>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B35"/>
    <w:rsid w:val="000144F8"/>
    <w:rsid w:val="0007207E"/>
    <w:rsid w:val="00074A22"/>
    <w:rsid w:val="00095AE4"/>
    <w:rsid w:val="000D0C4C"/>
    <w:rsid w:val="000D2815"/>
    <w:rsid w:val="00137EEF"/>
    <w:rsid w:val="00175EEC"/>
    <w:rsid w:val="00176E71"/>
    <w:rsid w:val="001C6EC7"/>
    <w:rsid w:val="001E759B"/>
    <w:rsid w:val="00206FEF"/>
    <w:rsid w:val="00276728"/>
    <w:rsid w:val="002867D4"/>
    <w:rsid w:val="00294FB4"/>
    <w:rsid w:val="002A3B35"/>
    <w:rsid w:val="002A69FD"/>
    <w:rsid w:val="002F1648"/>
    <w:rsid w:val="003460EE"/>
    <w:rsid w:val="00351DC2"/>
    <w:rsid w:val="00361126"/>
    <w:rsid w:val="003D01EC"/>
    <w:rsid w:val="003D30D8"/>
    <w:rsid w:val="00415F93"/>
    <w:rsid w:val="0045243C"/>
    <w:rsid w:val="004643AD"/>
    <w:rsid w:val="00465EB1"/>
    <w:rsid w:val="00474DC5"/>
    <w:rsid w:val="004809A0"/>
    <w:rsid w:val="004D6FA3"/>
    <w:rsid w:val="004E1892"/>
    <w:rsid w:val="004F6832"/>
    <w:rsid w:val="00526E4B"/>
    <w:rsid w:val="00537B74"/>
    <w:rsid w:val="00544939"/>
    <w:rsid w:val="00563168"/>
    <w:rsid w:val="0057090E"/>
    <w:rsid w:val="00580FC0"/>
    <w:rsid w:val="005840C9"/>
    <w:rsid w:val="005A1BF7"/>
    <w:rsid w:val="005A429A"/>
    <w:rsid w:val="005A6586"/>
    <w:rsid w:val="005B50C2"/>
    <w:rsid w:val="005D7301"/>
    <w:rsid w:val="005F7A40"/>
    <w:rsid w:val="00625619"/>
    <w:rsid w:val="00645D02"/>
    <w:rsid w:val="00695264"/>
    <w:rsid w:val="0072411E"/>
    <w:rsid w:val="00744ECE"/>
    <w:rsid w:val="00765A0B"/>
    <w:rsid w:val="007A31F0"/>
    <w:rsid w:val="007D3992"/>
    <w:rsid w:val="007F7FED"/>
    <w:rsid w:val="008166CC"/>
    <w:rsid w:val="008B16FA"/>
    <w:rsid w:val="008D36A1"/>
    <w:rsid w:val="008D4DF1"/>
    <w:rsid w:val="008D6446"/>
    <w:rsid w:val="008F0520"/>
    <w:rsid w:val="00910B32"/>
    <w:rsid w:val="0098116A"/>
    <w:rsid w:val="009A01F9"/>
    <w:rsid w:val="009B1350"/>
    <w:rsid w:val="00A34C64"/>
    <w:rsid w:val="00A556AF"/>
    <w:rsid w:val="00A70F28"/>
    <w:rsid w:val="00A72175"/>
    <w:rsid w:val="00AC4B6F"/>
    <w:rsid w:val="00AC57DB"/>
    <w:rsid w:val="00B26B85"/>
    <w:rsid w:val="00BA0783"/>
    <w:rsid w:val="00BD2FE4"/>
    <w:rsid w:val="00BF2491"/>
    <w:rsid w:val="00BF744A"/>
    <w:rsid w:val="00C26CDE"/>
    <w:rsid w:val="00C503F4"/>
    <w:rsid w:val="00C514A5"/>
    <w:rsid w:val="00CA0F0A"/>
    <w:rsid w:val="00CE29C3"/>
    <w:rsid w:val="00CE3DFC"/>
    <w:rsid w:val="00D146EC"/>
    <w:rsid w:val="00D26210"/>
    <w:rsid w:val="00D36EDF"/>
    <w:rsid w:val="00D67406"/>
    <w:rsid w:val="00D74BF5"/>
    <w:rsid w:val="00DD57A7"/>
    <w:rsid w:val="00E13BDB"/>
    <w:rsid w:val="00E22145"/>
    <w:rsid w:val="00ED5464"/>
    <w:rsid w:val="00F375AE"/>
    <w:rsid w:val="00F6247A"/>
    <w:rsid w:val="00F76FC3"/>
    <w:rsid w:val="00F86FD1"/>
    <w:rsid w:val="00FD4C45"/>
    <w:rsid w:val="1880733D"/>
    <w:rsid w:val="1BE64599"/>
    <w:rsid w:val="1DDE7E82"/>
    <w:rsid w:val="1E2B2D0C"/>
    <w:rsid w:val="1FAD3208"/>
    <w:rsid w:val="26066EB5"/>
    <w:rsid w:val="277F2F2D"/>
    <w:rsid w:val="2AD42AAD"/>
    <w:rsid w:val="2B4F06DB"/>
    <w:rsid w:val="2F544C9F"/>
    <w:rsid w:val="2FCB04BE"/>
    <w:rsid w:val="337C6572"/>
    <w:rsid w:val="3E986898"/>
    <w:rsid w:val="42FC322C"/>
    <w:rsid w:val="45AF7962"/>
    <w:rsid w:val="4A330179"/>
    <w:rsid w:val="4E6536AD"/>
    <w:rsid w:val="5C055938"/>
    <w:rsid w:val="60597F28"/>
    <w:rsid w:val="60744B78"/>
    <w:rsid w:val="66F355D4"/>
    <w:rsid w:val="743B50DA"/>
    <w:rsid w:val="75DC446A"/>
    <w:rsid w:val="78975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9"/>
    <w:unhideWhenUsed/>
    <w:qFormat/>
    <w:uiPriority w:val="99"/>
    <w:pPr>
      <w:jc w:val="left"/>
    </w:pPr>
  </w:style>
  <w:style w:type="paragraph" w:styleId="12">
    <w:name w:val="footer"/>
    <w:basedOn w:val="1"/>
    <w:link w:val="42"/>
    <w:unhideWhenUsed/>
    <w:qFormat/>
    <w:uiPriority w:val="99"/>
    <w:pPr>
      <w:tabs>
        <w:tab w:val="center" w:pos="4153"/>
        <w:tab w:val="right" w:pos="8306"/>
      </w:tabs>
      <w:snapToGrid w:val="0"/>
      <w:jc w:val="left"/>
    </w:pPr>
    <w:rPr>
      <w:sz w:val="18"/>
      <w:szCs w:val="18"/>
    </w:rPr>
  </w:style>
  <w:style w:type="paragraph" w:styleId="13">
    <w:name w:val="header"/>
    <w:basedOn w:val="1"/>
    <w:link w:val="41"/>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5"/>
    <w:semiHidden/>
    <w:unhideWhenUsed/>
    <w:qFormat/>
    <w:uiPriority w:val="99"/>
    <w:rPr>
      <w:b/>
      <w:bCs/>
    </w:rPr>
  </w:style>
  <w:style w:type="character" w:styleId="19">
    <w:name w:val="Strong"/>
    <w:basedOn w:val="18"/>
    <w:qFormat/>
    <w:uiPriority w:val="22"/>
    <w:rPr>
      <w:b/>
      <w:bCs/>
    </w:rPr>
  </w:style>
  <w:style w:type="character" w:styleId="20">
    <w:name w:val="annotation reference"/>
    <w:basedOn w:val="18"/>
    <w:semiHidden/>
    <w:unhideWhenUsed/>
    <w:qFormat/>
    <w:uiPriority w:val="99"/>
    <w:rPr>
      <w:sz w:val="21"/>
      <w:szCs w:val="21"/>
    </w:rPr>
  </w:style>
  <w:style w:type="character" w:customStyle="1" w:styleId="21">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2">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3">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4">
    <w:name w:val="标题 4 字符"/>
    <w:basedOn w:val="18"/>
    <w:link w:val="5"/>
    <w:semiHidden/>
    <w:qFormat/>
    <w:uiPriority w:val="9"/>
    <w:rPr>
      <w:rFonts w:cstheme="majorBidi"/>
      <w:color w:val="2F5597" w:themeColor="accent1" w:themeShade="BF"/>
      <w:sz w:val="28"/>
      <w:szCs w:val="28"/>
    </w:rPr>
  </w:style>
  <w:style w:type="character" w:customStyle="1" w:styleId="25">
    <w:name w:val="标题 5 字符"/>
    <w:basedOn w:val="18"/>
    <w:link w:val="6"/>
    <w:semiHidden/>
    <w:qFormat/>
    <w:uiPriority w:val="9"/>
    <w:rPr>
      <w:rFonts w:cstheme="majorBidi"/>
      <w:color w:val="2F5597" w:themeColor="accent1" w:themeShade="BF"/>
      <w:sz w:val="24"/>
      <w:szCs w:val="24"/>
    </w:rPr>
  </w:style>
  <w:style w:type="character" w:customStyle="1" w:styleId="26">
    <w:name w:val="标题 6 字符"/>
    <w:basedOn w:val="18"/>
    <w:link w:val="7"/>
    <w:semiHidden/>
    <w:qFormat/>
    <w:uiPriority w:val="9"/>
    <w:rPr>
      <w:rFonts w:cstheme="majorBidi"/>
      <w:b/>
      <w:bCs/>
      <w:color w:val="2F5597" w:themeColor="accent1" w:themeShade="BF"/>
    </w:rPr>
  </w:style>
  <w:style w:type="character" w:customStyle="1" w:styleId="27">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8"/>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99"/>
    <w:pPr>
      <w:ind w:left="720"/>
      <w:contextualSpacing/>
    </w:pPr>
  </w:style>
  <w:style w:type="character" w:customStyle="1" w:styleId="35">
    <w:name w:val="明显强调1"/>
    <w:basedOn w:val="18"/>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明显引用 字符"/>
    <w:basedOn w:val="18"/>
    <w:link w:val="36"/>
    <w:qFormat/>
    <w:uiPriority w:val="30"/>
    <w:rPr>
      <w:i/>
      <w:iCs/>
      <w:color w:val="2F5597" w:themeColor="accent1" w:themeShade="BF"/>
    </w:rPr>
  </w:style>
  <w:style w:type="character" w:customStyle="1" w:styleId="38">
    <w:name w:val="明显参考1"/>
    <w:basedOn w:val="18"/>
    <w:qFormat/>
    <w:uiPriority w:val="32"/>
    <w:rPr>
      <w:b/>
      <w:bCs/>
      <w:smallCaps/>
      <w:color w:val="2F5597" w:themeColor="accent1" w:themeShade="BF"/>
      <w:spacing w:val="5"/>
    </w:rPr>
  </w:style>
  <w:style w:type="character" w:customStyle="1" w:styleId="39">
    <w:name w:val="批注文字 字符"/>
    <w:basedOn w:val="18"/>
    <w:link w:val="11"/>
    <w:qFormat/>
    <w:uiPriority w:val="99"/>
    <w:rPr>
      <w:rFonts w:ascii="等线" w:hAnsi="等线" w:eastAsia="等线" w:cs="Times New Roman"/>
    </w:rPr>
  </w:style>
  <w:style w:type="table" w:customStyle="1" w:styleId="40">
    <w:name w:val="Table Normal"/>
    <w:basedOn w:val="17"/>
    <w:qFormat/>
    <w:uiPriority w:val="0"/>
    <w:rPr>
      <w:rFonts w:ascii="Times New Roman" w:hAnsi="Times New Roman" w:eastAsia="Times New Roman" w:cs="Times New Roman"/>
    </w:rPr>
    <w:tblPr>
      <w:tblCellMar>
        <w:left w:w="0" w:type="dxa"/>
        <w:right w:w="0" w:type="dxa"/>
      </w:tblCellMar>
    </w:tblPr>
  </w:style>
  <w:style w:type="character" w:customStyle="1" w:styleId="41">
    <w:name w:val="页眉 字符"/>
    <w:basedOn w:val="18"/>
    <w:link w:val="13"/>
    <w:qFormat/>
    <w:uiPriority w:val="99"/>
    <w:rPr>
      <w:rFonts w:ascii="等线" w:hAnsi="等线" w:eastAsia="等线" w:cs="Times New Roman"/>
      <w:sz w:val="18"/>
      <w:szCs w:val="18"/>
    </w:rPr>
  </w:style>
  <w:style w:type="character" w:customStyle="1" w:styleId="42">
    <w:name w:val="页脚 字符"/>
    <w:basedOn w:val="18"/>
    <w:link w:val="12"/>
    <w:qFormat/>
    <w:uiPriority w:val="99"/>
    <w:rPr>
      <w:rFonts w:ascii="等线" w:hAnsi="等线" w:eastAsia="等线" w:cs="Times New Roman"/>
      <w:sz w:val="18"/>
      <w:szCs w:val="18"/>
    </w:rPr>
  </w:style>
  <w:style w:type="paragraph" w:customStyle="1" w:styleId="43">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4">
    <w:name w:val="修订1"/>
    <w:hidden/>
    <w:unhideWhenUsed/>
    <w:qFormat/>
    <w:uiPriority w:val="99"/>
    <w:rPr>
      <w:rFonts w:ascii="等线" w:hAnsi="等线" w:eastAsia="等线" w:cs="Times New Roman"/>
      <w:kern w:val="2"/>
      <w:sz w:val="21"/>
      <w:szCs w:val="22"/>
      <w:lang w:val="en-US" w:eastAsia="zh-CN" w:bidi="ar-SA"/>
    </w:rPr>
  </w:style>
  <w:style w:type="character" w:customStyle="1" w:styleId="45">
    <w:name w:val="批注主题 字符"/>
    <w:basedOn w:val="39"/>
    <w:link w:val="16"/>
    <w:semiHidden/>
    <w:qFormat/>
    <w:uiPriority w:val="99"/>
    <w:rPr>
      <w:rFonts w:ascii="等线" w:hAnsi="等线" w:eastAsia="等线" w:cs="Times New Roman"/>
      <w:b/>
      <w:bCs/>
      <w:kern w:val="2"/>
      <w:sz w:val="21"/>
      <w:szCs w:val="22"/>
    </w:rPr>
  </w:style>
  <w:style w:type="paragraph" w:customStyle="1" w:styleId="46">
    <w:name w:val="修订2"/>
    <w:hidden/>
    <w:unhideWhenUsed/>
    <w:qFormat/>
    <w:uiPriority w:val="99"/>
    <w:rPr>
      <w:rFonts w:ascii="等线" w:hAnsi="等线" w:eastAsia="等线" w:cs="Times New Roman"/>
      <w:kern w:val="2"/>
      <w:sz w:val="21"/>
      <w:szCs w:val="22"/>
      <w:lang w:val="en-US" w:eastAsia="zh-CN" w:bidi="ar-SA"/>
    </w:rPr>
  </w:style>
  <w:style w:type="paragraph" w:customStyle="1" w:styleId="47">
    <w:name w:val="Revision"/>
    <w:hidden/>
    <w:unhideWhenUsed/>
    <w:qFormat/>
    <w:uiPriority w:val="99"/>
    <w:rPr>
      <w:rFonts w:ascii="等线" w:hAnsi="等线" w:eastAsia="等线" w:cs="Times New Roman"/>
      <w:kern w:val="2"/>
      <w:sz w:val="21"/>
      <w:szCs w:val="22"/>
      <w:lang w:val="en-US" w:eastAsia="zh-CN" w:bidi="ar-SA"/>
    </w:rPr>
  </w:style>
  <w:style w:type="character" w:customStyle="1" w:styleId="48">
    <w:name w:val="font51"/>
    <w:basedOn w:val="18"/>
    <w:qFormat/>
    <w:uiPriority w:val="0"/>
    <w:rPr>
      <w:rFonts w:hint="eastAsia" w:ascii="仿宋" w:hAnsi="仿宋" w:eastAsia="仿宋" w:cs="仿宋"/>
      <w:color w:val="000000"/>
      <w:sz w:val="24"/>
      <w:szCs w:val="24"/>
      <w:u w:val="none"/>
    </w:rPr>
  </w:style>
  <w:style w:type="character" w:customStyle="1" w:styleId="49">
    <w:name w:val="font61"/>
    <w:basedOn w:val="18"/>
    <w:qFormat/>
    <w:uiPriority w:val="0"/>
    <w:rPr>
      <w:rFonts w:hint="eastAsia" w:ascii="仿宋" w:hAnsi="仿宋" w:eastAsia="仿宋" w:cs="仿宋"/>
      <w:color w:val="000000"/>
      <w:sz w:val="24"/>
      <w:szCs w:val="24"/>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7999</Words>
  <Characters>8317</Characters>
  <Lines>58</Lines>
  <Paragraphs>16</Paragraphs>
  <TotalTime>12</TotalTime>
  <ScaleCrop>false</ScaleCrop>
  <LinksUpToDate>false</LinksUpToDate>
  <CharactersWithSpaces>8590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2026-07-01T12:17:00Z</dcterms:created>
  <dc:creator>姚炫羽</dc:creator>
  <cp:lastModifiedBy>李珍</cp:lastModifiedBy>
  <dcterms:modified xsi:type="dcterms:W3CDTF">2026-08-20T01:24:11Z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02DB81670BCB42F7815E936FBB375AD7_13</vt:lpwstr>
  </property>
  <property fmtid="{D5CDD505-2E9C-101B-9397-08002B2CF9AE}" pid="4" name="KSOTemplateDocerSaveRecord">
    <vt:lpwstr>eyJoZGlkIjoiYWNiMjY2YjhjMDFjYjExNzQ2ZTk1MDQ3N2NhNTNmOTgiLCJ1c2VySWQiOiIzMTYyMjI5OTgifQ==</vt:lpwstr>
  </property>
</Properties>
</file>