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36D6D" w14:textId="264A60EA" w:rsidR="00122012" w:rsidRDefault="00142B3C">
      <w:pPr>
        <w:spacing w:line="336" w:lineRule="auto"/>
        <w:ind w:left="594" w:rightChars="360" w:right="756" w:firstLineChars="100" w:firstLine="400"/>
        <w:jc w:val="center"/>
        <w:rPr>
          <w:rFonts w:ascii="微软雅黑" w:eastAsia="微软雅黑" w:hAnsi="微软雅黑" w:hint="eastAsia"/>
          <w:sz w:val="40"/>
          <w:szCs w:val="32"/>
        </w:rPr>
      </w:pPr>
      <w:r>
        <w:rPr>
          <w:rFonts w:ascii="微软雅黑" w:eastAsia="微软雅黑" w:hAnsi="微软雅黑" w:hint="eastAsia"/>
          <w:b/>
          <w:sz w:val="40"/>
          <w:szCs w:val="32"/>
        </w:rPr>
        <w:t>中山大学肿瘤</w:t>
      </w:r>
      <w:r w:rsidR="00673D60">
        <w:rPr>
          <w:rFonts w:ascii="微软雅黑" w:eastAsia="微软雅黑" w:hAnsi="微软雅黑" w:hint="eastAsia"/>
          <w:b/>
          <w:sz w:val="40"/>
          <w:szCs w:val="32"/>
        </w:rPr>
        <w:t>防治中心</w:t>
      </w:r>
      <w:r>
        <w:rPr>
          <w:rFonts w:ascii="微软雅黑" w:eastAsia="微软雅黑" w:hAnsi="微软雅黑" w:hint="eastAsia"/>
          <w:b/>
          <w:sz w:val="40"/>
          <w:szCs w:val="32"/>
        </w:rPr>
        <w:t>设备接入管理规范承诺函</w:t>
      </w:r>
    </w:p>
    <w:p w14:paraId="0D29F9E5" w14:textId="77777777" w:rsidR="00122012" w:rsidRDefault="00142B3C">
      <w:pPr>
        <w:spacing w:line="336" w:lineRule="auto"/>
        <w:ind w:rightChars="868" w:right="1823"/>
        <w:rPr>
          <w:rFonts w:ascii="仿宋" w:eastAsia="仿宋" w:hAnsi="仿宋" w:hint="eastAsia"/>
          <w:color w:val="484848"/>
          <w:sz w:val="24"/>
          <w:szCs w:val="24"/>
        </w:rPr>
      </w:pPr>
      <w:r>
        <w:rPr>
          <w:rFonts w:ascii="仿宋" w:eastAsia="仿宋" w:hAnsi="仿宋" w:hint="eastAsia"/>
          <w:color w:val="484848"/>
          <w:sz w:val="24"/>
          <w:szCs w:val="24"/>
        </w:rPr>
        <w:t>一、总则</w:t>
      </w:r>
    </w:p>
    <w:p w14:paraId="1E646D15" w14:textId="3C3ECBF0"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 xml:space="preserve"> 为加强中山大学</w:t>
      </w:r>
      <w:r w:rsidR="00673D60">
        <w:rPr>
          <w:rFonts w:ascii="仿宋" w:eastAsia="仿宋" w:hAnsi="仿宋" w:hint="eastAsia"/>
          <w:color w:val="484848"/>
        </w:rPr>
        <w:t>肿瘤防治中心</w:t>
      </w:r>
      <w:r>
        <w:rPr>
          <w:rFonts w:ascii="仿宋" w:eastAsia="仿宋" w:hAnsi="仿宋" w:hint="eastAsia"/>
          <w:color w:val="484848"/>
        </w:rPr>
        <w:t>网络安全，规范设备接入管理</w:t>
      </w:r>
      <w:r>
        <w:rPr>
          <w:rFonts w:ascii="仿宋" w:eastAsia="仿宋" w:hAnsi="仿宋"/>
          <w:color w:val="484848"/>
        </w:rPr>
        <w:t>，</w:t>
      </w:r>
      <w:r>
        <w:rPr>
          <w:rFonts w:ascii="仿宋" w:eastAsia="仿宋" w:hAnsi="仿宋" w:hint="eastAsia"/>
          <w:color w:val="484848"/>
        </w:rPr>
        <w:t>根据《医疗卫生机构网络安全管理办法》《网络安全法》《密码法》《数据安全法》《个人信息保护法》《关键信息基础设施安全保护条例》《网络安全审查办法》、网络安全等级保护制度等有关法律法规标准以及中心相关安全管理制度，</w:t>
      </w:r>
      <w:r>
        <w:rPr>
          <w:rFonts w:ascii="仿宋" w:eastAsia="仿宋" w:hAnsi="仿宋"/>
          <w:color w:val="484848"/>
        </w:rPr>
        <w:t>特制定本</w:t>
      </w:r>
      <w:r>
        <w:rPr>
          <w:rFonts w:ascii="仿宋" w:eastAsia="仿宋" w:hAnsi="仿宋" w:hint="eastAsia"/>
          <w:color w:val="484848"/>
        </w:rPr>
        <w:t>规范</w:t>
      </w:r>
      <w:r>
        <w:rPr>
          <w:rFonts w:ascii="仿宋" w:eastAsia="仿宋" w:hAnsi="仿宋"/>
          <w:color w:val="484848"/>
        </w:rPr>
        <w:t>。</w:t>
      </w:r>
    </w:p>
    <w:p w14:paraId="0DB97C86" w14:textId="77777777" w:rsidR="00122012" w:rsidRDefault="00142B3C">
      <w:pPr>
        <w:spacing w:line="336" w:lineRule="auto"/>
        <w:rPr>
          <w:rFonts w:ascii="仿宋" w:eastAsia="仿宋" w:hAnsi="仿宋" w:hint="eastAsia"/>
          <w:color w:val="484848"/>
          <w:sz w:val="24"/>
          <w:szCs w:val="24"/>
        </w:rPr>
      </w:pPr>
      <w:r>
        <w:rPr>
          <w:rFonts w:ascii="仿宋" w:eastAsia="仿宋" w:hAnsi="仿宋" w:hint="eastAsia"/>
          <w:color w:val="484848"/>
          <w:sz w:val="24"/>
          <w:szCs w:val="24"/>
        </w:rPr>
        <w:t>二、接入流程</w:t>
      </w:r>
    </w:p>
    <w:p w14:paraId="1FEAD582" w14:textId="2E9697CF"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hint="eastAsia"/>
          <w:color w:val="484848"/>
        </w:rPr>
        <w:t>任何设备接入中山大学</w:t>
      </w:r>
      <w:r w:rsidR="00673D60">
        <w:rPr>
          <w:rFonts w:ascii="仿宋" w:eastAsia="仿宋" w:hAnsi="仿宋" w:hint="eastAsia"/>
          <w:color w:val="484848"/>
        </w:rPr>
        <w:t>肿瘤防治中心</w:t>
      </w:r>
      <w:r>
        <w:rPr>
          <w:rFonts w:ascii="仿宋" w:eastAsia="仿宋" w:hAnsi="仿宋" w:hint="eastAsia"/>
          <w:color w:val="484848"/>
        </w:rPr>
        <w:t>网络前，需使用科室经办人通过钉钉向信息中心提交申请，经科室负责人、信息中心负责人审批通过后方可接入。如接入设备为医疗仪器设备或</w:t>
      </w:r>
      <w:proofErr w:type="gramStart"/>
      <w:r>
        <w:rPr>
          <w:rFonts w:ascii="仿宋" w:eastAsia="仿宋" w:hAnsi="仿宋" w:hint="eastAsia"/>
          <w:color w:val="484848"/>
        </w:rPr>
        <w:t>非医院</w:t>
      </w:r>
      <w:proofErr w:type="gramEnd"/>
      <w:r>
        <w:rPr>
          <w:rFonts w:ascii="仿宋" w:eastAsia="仿宋" w:hAnsi="仿宋" w:hint="eastAsia"/>
          <w:color w:val="484848"/>
        </w:rPr>
        <w:t>资产设备，还需签订安全承诺函。</w:t>
      </w:r>
    </w:p>
    <w:p w14:paraId="0F0D91E1"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hint="eastAsia"/>
          <w:color w:val="484848"/>
        </w:rPr>
        <w:t>科室经办人提交的审批中应注明设备型号、操作系统、数量、位置、设备供应商、</w:t>
      </w:r>
      <w:r>
        <w:rPr>
          <w:rFonts w:ascii="仿宋" w:eastAsia="仿宋" w:hAnsi="仿宋"/>
          <w:color w:val="484848"/>
        </w:rPr>
        <w:t>MAC</w:t>
      </w:r>
      <w:r>
        <w:rPr>
          <w:rFonts w:ascii="仿宋" w:eastAsia="仿宋" w:hAnsi="仿宋" w:hint="eastAsia"/>
          <w:color w:val="484848"/>
        </w:rPr>
        <w:t>地址、设备用途等信息。</w:t>
      </w:r>
    </w:p>
    <w:p w14:paraId="16A21A51" w14:textId="77777777" w:rsidR="00122012" w:rsidRDefault="00142B3C">
      <w:pPr>
        <w:pStyle w:val="a5"/>
        <w:spacing w:before="67" w:line="336" w:lineRule="auto"/>
        <w:ind w:rightChars="-219" w:right="-460"/>
        <w:jc w:val="both"/>
        <w:rPr>
          <w:rFonts w:ascii="仿宋" w:eastAsia="仿宋" w:hAnsi="仿宋" w:hint="eastAsia"/>
          <w:color w:val="484848"/>
        </w:rPr>
      </w:pPr>
      <w:r>
        <w:rPr>
          <w:rFonts w:ascii="仿宋" w:eastAsia="仿宋" w:hAnsi="仿宋" w:hint="eastAsia"/>
          <w:color w:val="484848"/>
        </w:rPr>
        <w:t>三、设备接入网络管理要求</w:t>
      </w:r>
    </w:p>
    <w:p w14:paraId="63D84408"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1、</w:t>
      </w:r>
      <w:r>
        <w:rPr>
          <w:rFonts w:ascii="仿宋" w:eastAsia="仿宋" w:hAnsi="仿宋" w:hint="eastAsia"/>
          <w:color w:val="484848"/>
        </w:rPr>
        <w:t>使用科室应指定人员负责设备的使用管理工作。如有发现影响医院网络安全、数据安全等行为，应及时制止并通知信息中心处置。</w:t>
      </w:r>
    </w:p>
    <w:p w14:paraId="7AB6BFFE"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2、</w:t>
      </w:r>
      <w:r>
        <w:rPr>
          <w:rFonts w:ascii="仿宋" w:eastAsia="仿宋" w:hAnsi="仿宋" w:hint="eastAsia"/>
          <w:color w:val="484848"/>
        </w:rPr>
        <w:t>设备系统账号不得采用弱密码</w:t>
      </w:r>
      <w:r>
        <w:rPr>
          <w:rFonts w:ascii="仿宋" w:eastAsia="仿宋" w:hAnsi="仿宋"/>
          <w:color w:val="484848"/>
        </w:rPr>
        <w:t>，建议密码包含数字、大小写字母、特殊符号</w:t>
      </w:r>
      <w:r>
        <w:rPr>
          <w:rFonts w:ascii="仿宋" w:eastAsia="仿宋" w:hAnsi="仿宋" w:hint="eastAsia"/>
          <w:color w:val="484848"/>
        </w:rPr>
        <w:t>。</w:t>
      </w:r>
    </w:p>
    <w:p w14:paraId="4FF0725A"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3</w:t>
      </w:r>
      <w:r>
        <w:rPr>
          <w:rFonts w:ascii="仿宋" w:eastAsia="仿宋" w:hAnsi="仿宋" w:hint="eastAsia"/>
          <w:color w:val="484848"/>
        </w:rPr>
        <w:t>、设备接入内网时，需安装信息中心提供的杀毒软件和桌面准入软件。通过以上软件实现</w:t>
      </w:r>
      <w:r>
        <w:rPr>
          <w:rFonts w:ascii="仿宋" w:eastAsia="仿宋" w:hAnsi="仿宋"/>
          <w:color w:val="484848"/>
        </w:rPr>
        <w:t>USB</w:t>
      </w:r>
      <w:r>
        <w:rPr>
          <w:rFonts w:ascii="仿宋" w:eastAsia="仿宋" w:hAnsi="仿宋" w:hint="eastAsia"/>
          <w:color w:val="484848"/>
        </w:rPr>
        <w:t>、光驱、网卡等外设限制和病毒防范，避免数据泄露和病毒传播。如设备无法安装安全软件，需与信息中心沟通，协商采用其他有效的控制措施。未经信息中心同意，任何人不得禁止私自卸载杀毒软件和桌面准入软件。</w:t>
      </w:r>
    </w:p>
    <w:p w14:paraId="565FC2EE"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hint="eastAsia"/>
          <w:color w:val="484848"/>
        </w:rPr>
        <w:t>4、接入外网时，须安装主流的防病毒软件，如火绒、3</w:t>
      </w:r>
      <w:r>
        <w:rPr>
          <w:rFonts w:ascii="仿宋" w:eastAsia="仿宋" w:hAnsi="仿宋"/>
          <w:color w:val="484848"/>
        </w:rPr>
        <w:t>60</w:t>
      </w:r>
      <w:r>
        <w:rPr>
          <w:rFonts w:ascii="仿宋" w:eastAsia="仿宋" w:hAnsi="仿宋" w:hint="eastAsia"/>
          <w:color w:val="484848"/>
        </w:rPr>
        <w:t>、小红伞等，并开启定期扫描和病毒库更新功能。</w:t>
      </w:r>
    </w:p>
    <w:p w14:paraId="32C6154E"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5</w:t>
      </w:r>
      <w:r>
        <w:rPr>
          <w:rFonts w:ascii="仿宋" w:eastAsia="仿宋" w:hAnsi="仿宋" w:hint="eastAsia"/>
          <w:color w:val="484848"/>
        </w:rPr>
        <w:t>、涉及到产生、存放医疗数据的设备，原则上需接入内网进行统一管理，不得私自接到外网或者互联网。</w:t>
      </w:r>
    </w:p>
    <w:p w14:paraId="742C19F0"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6、</w:t>
      </w:r>
      <w:r>
        <w:rPr>
          <w:rFonts w:ascii="仿宋" w:eastAsia="仿宋" w:hAnsi="仿宋" w:hint="eastAsia"/>
          <w:color w:val="484848"/>
        </w:rPr>
        <w:t>不得将接入医院内网网络的设备，通过双网卡或者</w:t>
      </w:r>
      <w:r>
        <w:rPr>
          <w:rFonts w:ascii="仿宋" w:eastAsia="仿宋" w:hAnsi="仿宋"/>
          <w:color w:val="484848"/>
        </w:rPr>
        <w:t>5G</w:t>
      </w:r>
      <w:r>
        <w:rPr>
          <w:rFonts w:ascii="仿宋" w:eastAsia="仿宋" w:hAnsi="仿宋" w:hint="eastAsia"/>
          <w:color w:val="484848"/>
        </w:rPr>
        <w:t>卡等形式</w:t>
      </w:r>
      <w:proofErr w:type="gramStart"/>
      <w:r>
        <w:rPr>
          <w:rFonts w:ascii="仿宋" w:eastAsia="仿宋" w:hAnsi="仿宋" w:hint="eastAsia"/>
          <w:color w:val="484848"/>
        </w:rPr>
        <w:t>串接到</w:t>
      </w:r>
      <w:proofErr w:type="gramEnd"/>
      <w:r>
        <w:rPr>
          <w:rFonts w:ascii="仿宋" w:eastAsia="仿宋" w:hAnsi="仿宋" w:hint="eastAsia"/>
          <w:color w:val="484848"/>
        </w:rPr>
        <w:t>互联网或其他存在安全威胁的网络。</w:t>
      </w:r>
    </w:p>
    <w:p w14:paraId="5AEC0CC3"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lastRenderedPageBreak/>
        <w:t>7、</w:t>
      </w:r>
      <w:r>
        <w:rPr>
          <w:rFonts w:ascii="仿宋" w:eastAsia="仿宋" w:hAnsi="仿宋" w:hint="eastAsia"/>
          <w:color w:val="484848"/>
        </w:rPr>
        <w:t>未经批准，任何人员不得通过各种手段拷贝设备上的医疗数据。所有医疗数据的使用，请遵循《</w:t>
      </w:r>
      <w:r>
        <w:rPr>
          <w:rFonts w:ascii="仿宋" w:eastAsia="仿宋" w:hAnsi="仿宋"/>
          <w:color w:val="484848"/>
        </w:rPr>
        <w:t>中山大学肿瘤防治中心信息数据使用管理办法</w:t>
      </w:r>
      <w:r>
        <w:rPr>
          <w:rFonts w:ascii="仿宋" w:eastAsia="仿宋" w:hAnsi="仿宋" w:hint="eastAsia"/>
          <w:color w:val="484848"/>
        </w:rPr>
        <w:t>》。</w:t>
      </w:r>
    </w:p>
    <w:p w14:paraId="2CB2895B"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8、</w:t>
      </w:r>
      <w:r>
        <w:rPr>
          <w:rFonts w:ascii="仿宋" w:eastAsia="仿宋" w:hAnsi="仿宋" w:hint="eastAsia"/>
          <w:color w:val="484848"/>
        </w:rPr>
        <w:t>不得将接入设备作为跳板，非法探测、窃取医院信息系统数据。</w:t>
      </w:r>
    </w:p>
    <w:p w14:paraId="584C2CD7"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9、不得通过设备做出任何危害医院网络安全的行为。</w:t>
      </w:r>
    </w:p>
    <w:p w14:paraId="7D612A90"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10</w:t>
      </w:r>
      <w:r>
        <w:rPr>
          <w:rFonts w:ascii="仿宋" w:eastAsia="仿宋" w:hAnsi="仿宋" w:hint="eastAsia"/>
          <w:color w:val="484848"/>
        </w:rPr>
        <w:t>、严禁在未授权的情况下在设备安装远程工具，如因特殊情况需要通过远程访问，须经过信息中心审批授权后，由信息中心开通远程访问权限，使用完成后及时通知信息中心关闭。</w:t>
      </w:r>
    </w:p>
    <w:p w14:paraId="13AADD30"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11、未经信息中心、使用科室同意，</w:t>
      </w:r>
      <w:r>
        <w:rPr>
          <w:rFonts w:ascii="仿宋" w:eastAsia="仿宋" w:hAnsi="仿宋" w:hint="eastAsia"/>
          <w:color w:val="484848"/>
        </w:rPr>
        <w:t>严禁任何人将设备存放的医疗数据传输到境外。如确有所需，请按照医院及国家相关数据出境管理办法进行审批。</w:t>
      </w:r>
    </w:p>
    <w:p w14:paraId="1CF42C1E" w14:textId="77777777"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12</w:t>
      </w:r>
      <w:r>
        <w:rPr>
          <w:rFonts w:ascii="仿宋" w:eastAsia="仿宋" w:hAnsi="仿宋" w:hint="eastAsia"/>
          <w:color w:val="484848"/>
        </w:rPr>
        <w:t>、如涉及医院系统对接，且需要批量获取医院生产系统数据，须提前与信息中心做好沟通工作，并提供合适的方案，经信息中心负责人审批后方可执行；</w:t>
      </w:r>
      <w:r>
        <w:rPr>
          <w:rFonts w:ascii="仿宋" w:eastAsia="仿宋" w:hAnsi="仿宋"/>
          <w:color w:val="484848"/>
        </w:rPr>
        <w:t>保存所有应用和系统的日志，</w:t>
      </w:r>
      <w:r>
        <w:rPr>
          <w:rFonts w:ascii="仿宋" w:eastAsia="仿宋" w:hAnsi="仿宋" w:hint="eastAsia"/>
          <w:color w:val="484848"/>
        </w:rPr>
        <w:t>确保相应的操作可追溯可审查，日志</w:t>
      </w:r>
      <w:r>
        <w:rPr>
          <w:rFonts w:ascii="仿宋" w:eastAsia="仿宋" w:hAnsi="仿宋"/>
          <w:color w:val="484848"/>
        </w:rPr>
        <w:t>保存期限不少于6个月。</w:t>
      </w:r>
      <w:r>
        <w:rPr>
          <w:rFonts w:ascii="仿宋" w:eastAsia="仿宋" w:hAnsi="仿宋" w:hint="eastAsia"/>
          <w:color w:val="484848"/>
        </w:rPr>
        <w:t>所有日志记录必须通过</w:t>
      </w:r>
      <w:r>
        <w:rPr>
          <w:rFonts w:ascii="仿宋" w:eastAsia="仿宋" w:hAnsi="仿宋"/>
          <w:color w:val="484848"/>
        </w:rPr>
        <w:t>syslog形式发送到信息中心</w:t>
      </w:r>
      <w:r>
        <w:rPr>
          <w:rFonts w:ascii="仿宋" w:eastAsia="仿宋" w:hAnsi="仿宋" w:hint="eastAsia"/>
          <w:color w:val="484848"/>
        </w:rPr>
        <w:t>指定的日志服务器备查。</w:t>
      </w:r>
    </w:p>
    <w:p w14:paraId="5E4D3EC8" w14:textId="5A216106" w:rsidR="00122012" w:rsidRDefault="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color w:val="484848"/>
        </w:rPr>
        <w:t>13</w:t>
      </w:r>
      <w:r>
        <w:rPr>
          <w:rFonts w:ascii="仿宋" w:eastAsia="仿宋" w:hAnsi="仿宋" w:hint="eastAsia"/>
          <w:color w:val="484848"/>
        </w:rPr>
        <w:t>、</w:t>
      </w:r>
      <w:proofErr w:type="gramStart"/>
      <w:r>
        <w:rPr>
          <w:rFonts w:ascii="仿宋" w:eastAsia="仿宋" w:hAnsi="仿宋" w:hint="eastAsia"/>
          <w:color w:val="484848"/>
        </w:rPr>
        <w:t>非医院</w:t>
      </w:r>
      <w:proofErr w:type="gramEnd"/>
      <w:r>
        <w:rPr>
          <w:rFonts w:ascii="仿宋" w:eastAsia="仿宋" w:hAnsi="仿宋" w:hint="eastAsia"/>
          <w:color w:val="484848"/>
        </w:rPr>
        <w:t>资产设备在退网前，需删除与中山大学</w:t>
      </w:r>
      <w:r w:rsidR="00673D60">
        <w:rPr>
          <w:rFonts w:ascii="仿宋" w:eastAsia="仿宋" w:hAnsi="仿宋" w:hint="eastAsia"/>
          <w:color w:val="484848"/>
        </w:rPr>
        <w:t>肿瘤防治中心</w:t>
      </w:r>
      <w:r>
        <w:rPr>
          <w:rFonts w:ascii="仿宋" w:eastAsia="仿宋" w:hAnsi="仿宋" w:hint="eastAsia"/>
          <w:color w:val="484848"/>
        </w:rPr>
        <w:t>相关的所有数据，并经信息中心确认方可撤走。</w:t>
      </w:r>
    </w:p>
    <w:p w14:paraId="546E6E39" w14:textId="77777777" w:rsidR="00142B3C" w:rsidRDefault="00142B3C" w:rsidP="00142B3C">
      <w:pPr>
        <w:pStyle w:val="a5"/>
        <w:spacing w:before="67" w:line="336" w:lineRule="auto"/>
        <w:ind w:left="104" w:rightChars="-219" w:right="-460" w:firstLine="542"/>
        <w:jc w:val="both"/>
        <w:rPr>
          <w:rFonts w:ascii="仿宋" w:eastAsia="仿宋" w:hAnsi="仿宋" w:hint="eastAsia"/>
          <w:color w:val="484848"/>
        </w:rPr>
      </w:pPr>
      <w:r>
        <w:rPr>
          <w:rFonts w:ascii="仿宋" w:eastAsia="仿宋" w:hAnsi="仿宋" w:hint="eastAsia"/>
          <w:color w:val="484848"/>
        </w:rPr>
        <w:t>我司承诺接受以上规范条款。</w:t>
      </w:r>
      <w:r w:rsidRPr="00142B3C">
        <w:rPr>
          <w:rFonts w:ascii="仿宋" w:eastAsia="仿宋" w:hAnsi="仿宋" w:hint="eastAsia"/>
          <w:color w:val="484848"/>
        </w:rPr>
        <w:t>若我司在以上条款中未能遵守和告知，将视为我司在贵院的</w:t>
      </w:r>
      <w:proofErr w:type="gramStart"/>
      <w:r w:rsidRPr="00142B3C">
        <w:rPr>
          <w:rFonts w:ascii="仿宋" w:eastAsia="仿宋" w:hAnsi="仿宋" w:hint="eastAsia"/>
          <w:color w:val="484848"/>
        </w:rPr>
        <w:t>不</w:t>
      </w:r>
      <w:proofErr w:type="gramEnd"/>
      <w:r w:rsidRPr="00142B3C">
        <w:rPr>
          <w:rFonts w:ascii="仿宋" w:eastAsia="仿宋" w:hAnsi="仿宋" w:hint="eastAsia"/>
          <w:color w:val="484848"/>
        </w:rPr>
        <w:t>诚信行为，将接受院方的处理，包括但不限于：1.院方无条件中止与我司的合作（包括购置意向和购置合同协议），2.我司在未来五年内不得参与院方的设备购置和供货服务。</w:t>
      </w:r>
    </w:p>
    <w:p w14:paraId="2B876C4E" w14:textId="77777777" w:rsidR="00142B3C" w:rsidRPr="00142B3C" w:rsidRDefault="00142B3C" w:rsidP="00142B3C">
      <w:pPr>
        <w:pStyle w:val="a5"/>
        <w:spacing w:before="67" w:line="336" w:lineRule="auto"/>
        <w:ind w:left="104" w:rightChars="-219" w:right="-460" w:firstLine="542"/>
        <w:jc w:val="both"/>
        <w:rPr>
          <w:rFonts w:ascii="仿宋" w:eastAsia="仿宋" w:hAnsi="仿宋" w:hint="eastAsia"/>
          <w:color w:val="484848"/>
        </w:rPr>
      </w:pPr>
      <w:r w:rsidRPr="00142B3C">
        <w:rPr>
          <w:rFonts w:ascii="仿宋" w:eastAsia="仿宋" w:hAnsi="仿宋" w:hint="eastAsia"/>
          <w:color w:val="484848"/>
        </w:rPr>
        <w:t>特此承诺。</w:t>
      </w:r>
    </w:p>
    <w:p w14:paraId="0552BFE3" w14:textId="77777777" w:rsidR="00142B3C" w:rsidRPr="00142B3C" w:rsidRDefault="00142B3C" w:rsidP="00142B3C">
      <w:pPr>
        <w:rPr>
          <w:rFonts w:ascii="仿宋" w:eastAsia="仿宋" w:hAnsi="仿宋" w:cs="宋体" w:hint="eastAsia"/>
          <w:color w:val="484848"/>
          <w:kern w:val="0"/>
          <w:sz w:val="24"/>
          <w:szCs w:val="24"/>
          <w:lang w:val="zh-CN" w:bidi="zh-CN"/>
        </w:rPr>
      </w:pPr>
    </w:p>
    <w:p w14:paraId="529808E2" w14:textId="77777777" w:rsidR="00142B3C" w:rsidRPr="00142B3C" w:rsidRDefault="00142B3C" w:rsidP="00142B3C">
      <w:pPr>
        <w:rPr>
          <w:rFonts w:ascii="仿宋" w:eastAsia="仿宋" w:hAnsi="仿宋" w:cs="宋体" w:hint="eastAsia"/>
          <w:color w:val="484848"/>
          <w:kern w:val="0"/>
          <w:sz w:val="24"/>
          <w:szCs w:val="24"/>
          <w:lang w:val="zh-CN" w:bidi="zh-CN"/>
        </w:rPr>
      </w:pPr>
    </w:p>
    <w:p w14:paraId="2D99A064" w14:textId="77777777" w:rsidR="00142B3C" w:rsidRPr="00142B3C" w:rsidRDefault="00142B3C" w:rsidP="00142B3C">
      <w:pPr>
        <w:rPr>
          <w:rFonts w:ascii="仿宋" w:eastAsia="仿宋" w:hAnsi="仿宋" w:cs="宋体" w:hint="eastAsia"/>
          <w:color w:val="484848"/>
          <w:kern w:val="0"/>
          <w:sz w:val="24"/>
          <w:szCs w:val="24"/>
          <w:lang w:val="zh-CN" w:bidi="zh-CN"/>
        </w:rPr>
      </w:pPr>
    </w:p>
    <w:p w14:paraId="79AAF172" w14:textId="77777777" w:rsidR="00142B3C" w:rsidRPr="00142B3C" w:rsidRDefault="00142B3C" w:rsidP="00142B3C">
      <w:pPr>
        <w:rPr>
          <w:rFonts w:ascii="仿宋" w:eastAsia="仿宋" w:hAnsi="仿宋" w:cs="宋体" w:hint="eastAsia"/>
          <w:color w:val="484848"/>
          <w:kern w:val="0"/>
          <w:sz w:val="24"/>
          <w:szCs w:val="24"/>
          <w:lang w:val="zh-CN" w:bidi="zh-CN"/>
        </w:rPr>
      </w:pPr>
      <w:r w:rsidRPr="00142B3C">
        <w:rPr>
          <w:rFonts w:ascii="仿宋" w:eastAsia="仿宋" w:hAnsi="仿宋" w:cs="宋体" w:hint="eastAsia"/>
          <w:color w:val="484848"/>
          <w:kern w:val="0"/>
          <w:sz w:val="24"/>
          <w:szCs w:val="24"/>
          <w:lang w:val="zh-CN" w:bidi="zh-CN"/>
        </w:rPr>
        <w:t xml:space="preserve">                     供应商名称（加盖公章）：</w:t>
      </w:r>
    </w:p>
    <w:p w14:paraId="2DFD8971" w14:textId="77777777" w:rsidR="00142B3C" w:rsidRPr="00142B3C" w:rsidRDefault="00142B3C" w:rsidP="00142B3C">
      <w:pPr>
        <w:rPr>
          <w:rFonts w:ascii="仿宋" w:eastAsia="仿宋" w:hAnsi="仿宋" w:cs="宋体" w:hint="eastAsia"/>
          <w:color w:val="484848"/>
          <w:kern w:val="0"/>
          <w:sz w:val="24"/>
          <w:szCs w:val="24"/>
          <w:lang w:val="zh-CN" w:bidi="zh-CN"/>
        </w:rPr>
      </w:pPr>
      <w:r w:rsidRPr="00142B3C">
        <w:rPr>
          <w:rFonts w:ascii="仿宋" w:eastAsia="仿宋" w:hAnsi="仿宋" w:cs="宋体" w:hint="eastAsia"/>
          <w:color w:val="484848"/>
          <w:kern w:val="0"/>
          <w:sz w:val="24"/>
          <w:szCs w:val="24"/>
          <w:lang w:val="zh-CN" w:bidi="zh-CN"/>
        </w:rPr>
        <w:t xml:space="preserve">                     法人代表（或授权代表）：</w:t>
      </w:r>
    </w:p>
    <w:p w14:paraId="728E8499" w14:textId="77777777" w:rsidR="00142B3C" w:rsidRPr="00142B3C" w:rsidRDefault="00142B3C" w:rsidP="00142B3C">
      <w:pPr>
        <w:rPr>
          <w:rFonts w:ascii="仿宋" w:eastAsia="仿宋" w:hAnsi="仿宋" w:cs="宋体" w:hint="eastAsia"/>
          <w:color w:val="484848"/>
          <w:kern w:val="0"/>
          <w:sz w:val="24"/>
          <w:szCs w:val="24"/>
          <w:lang w:val="zh-CN" w:bidi="zh-CN"/>
        </w:rPr>
      </w:pPr>
      <w:r w:rsidRPr="00142B3C">
        <w:rPr>
          <w:rFonts w:ascii="仿宋" w:eastAsia="仿宋" w:hAnsi="仿宋" w:cs="宋体" w:hint="eastAsia"/>
          <w:color w:val="484848"/>
          <w:kern w:val="0"/>
          <w:sz w:val="24"/>
          <w:szCs w:val="24"/>
          <w:lang w:val="zh-CN" w:bidi="zh-CN"/>
        </w:rPr>
        <w:t xml:space="preserve">                        日 期：</w:t>
      </w:r>
    </w:p>
    <w:p w14:paraId="6081C589" w14:textId="77777777" w:rsidR="00142B3C" w:rsidRPr="00142B3C" w:rsidRDefault="00142B3C" w:rsidP="00142B3C">
      <w:pPr>
        <w:rPr>
          <w:rFonts w:ascii="仿宋" w:eastAsia="仿宋" w:hAnsi="仿宋" w:cs="宋体" w:hint="eastAsia"/>
          <w:color w:val="484848"/>
          <w:kern w:val="0"/>
          <w:sz w:val="24"/>
          <w:szCs w:val="24"/>
          <w:lang w:val="zh-CN" w:bidi="zh-CN"/>
        </w:rPr>
      </w:pPr>
      <w:r w:rsidRPr="00142B3C">
        <w:rPr>
          <w:rFonts w:ascii="仿宋" w:eastAsia="仿宋" w:hAnsi="仿宋" w:cs="宋体" w:hint="eastAsia"/>
          <w:color w:val="484848"/>
          <w:kern w:val="0"/>
          <w:sz w:val="24"/>
          <w:szCs w:val="24"/>
          <w:lang w:val="zh-CN" w:bidi="zh-CN"/>
        </w:rPr>
        <w:t xml:space="preserve">                    </w:t>
      </w:r>
      <w:r>
        <w:rPr>
          <w:rFonts w:ascii="仿宋" w:eastAsia="仿宋" w:hAnsi="仿宋" w:cs="宋体" w:hint="eastAsia"/>
          <w:color w:val="484848"/>
          <w:kern w:val="0"/>
          <w:sz w:val="24"/>
          <w:szCs w:val="24"/>
          <w:lang w:val="zh-CN" w:bidi="zh-CN"/>
        </w:rPr>
        <w:t xml:space="preserve"> 设备</w:t>
      </w:r>
      <w:r w:rsidRPr="00142B3C">
        <w:rPr>
          <w:rFonts w:ascii="仿宋" w:eastAsia="仿宋" w:hAnsi="仿宋" w:cs="宋体" w:hint="eastAsia"/>
          <w:color w:val="484848"/>
          <w:kern w:val="0"/>
          <w:sz w:val="24"/>
          <w:szCs w:val="24"/>
          <w:lang w:val="zh-CN" w:bidi="zh-CN"/>
        </w:rPr>
        <w:t>厂家名称（加盖公章）：</w:t>
      </w:r>
    </w:p>
    <w:p w14:paraId="6D83FE98" w14:textId="77777777" w:rsidR="00142B3C" w:rsidRPr="00142B3C" w:rsidRDefault="00142B3C" w:rsidP="00142B3C">
      <w:pPr>
        <w:rPr>
          <w:rFonts w:ascii="仿宋" w:eastAsia="仿宋" w:hAnsi="仿宋" w:cs="宋体" w:hint="eastAsia"/>
          <w:color w:val="484848"/>
          <w:kern w:val="0"/>
          <w:sz w:val="24"/>
          <w:szCs w:val="24"/>
          <w:lang w:val="zh-CN" w:bidi="zh-CN"/>
        </w:rPr>
      </w:pPr>
      <w:r w:rsidRPr="00142B3C">
        <w:rPr>
          <w:rFonts w:ascii="仿宋" w:eastAsia="仿宋" w:hAnsi="仿宋" w:cs="宋体" w:hint="eastAsia"/>
          <w:color w:val="484848"/>
          <w:kern w:val="0"/>
          <w:sz w:val="24"/>
          <w:szCs w:val="24"/>
          <w:lang w:val="zh-CN" w:bidi="zh-CN"/>
        </w:rPr>
        <w:t xml:space="preserve">                       法人代表（或授权代表）：</w:t>
      </w:r>
    </w:p>
    <w:p w14:paraId="7BCB07A6" w14:textId="77777777" w:rsidR="00122012" w:rsidRPr="00142B3C" w:rsidRDefault="00142B3C" w:rsidP="00142B3C">
      <w:pPr>
        <w:rPr>
          <w:rFonts w:ascii="仿宋" w:eastAsia="仿宋" w:hAnsi="仿宋" w:cs="宋体" w:hint="eastAsia"/>
          <w:color w:val="484848"/>
          <w:kern w:val="0"/>
          <w:sz w:val="24"/>
          <w:szCs w:val="24"/>
          <w:lang w:val="zh-CN" w:bidi="zh-CN"/>
        </w:rPr>
      </w:pPr>
      <w:r w:rsidRPr="00142B3C">
        <w:rPr>
          <w:rFonts w:ascii="仿宋" w:eastAsia="仿宋" w:hAnsi="仿宋" w:cs="宋体" w:hint="eastAsia"/>
          <w:color w:val="484848"/>
          <w:kern w:val="0"/>
          <w:sz w:val="24"/>
          <w:szCs w:val="24"/>
          <w:lang w:val="zh-CN" w:bidi="zh-CN"/>
        </w:rPr>
        <w:t xml:space="preserve">                        日 期：</w:t>
      </w:r>
    </w:p>
    <w:sectPr w:rsidR="00122012" w:rsidRPr="00142B3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仿宋">
    <w:altName w:val="汉仪仿宋KW"/>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16DC"/>
    <w:rsid w:val="000E0C50"/>
    <w:rsid w:val="00122012"/>
    <w:rsid w:val="00142B3C"/>
    <w:rsid w:val="006652B6"/>
    <w:rsid w:val="00673D60"/>
    <w:rsid w:val="00904B60"/>
    <w:rsid w:val="00CC26FD"/>
    <w:rsid w:val="00FA4257"/>
    <w:rsid w:val="00FC16DC"/>
    <w:rsid w:val="5FF71105"/>
    <w:rsid w:val="6FF5E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7EFAC0"/>
  <w15:docId w15:val="{70E93559-4D5E-42A5-B59F-3E080DDF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link w:val="a6"/>
    <w:uiPriority w:val="1"/>
    <w:qFormat/>
    <w:pPr>
      <w:autoSpaceDE w:val="0"/>
      <w:autoSpaceDN w:val="0"/>
      <w:jc w:val="left"/>
    </w:pPr>
    <w:rPr>
      <w:rFonts w:ascii="宋体" w:eastAsia="宋体" w:hAnsi="宋体" w:cs="宋体"/>
      <w:kern w:val="0"/>
      <w:sz w:val="24"/>
      <w:szCs w:val="24"/>
      <w:lang w:val="zh-CN" w:bidi="zh-CN"/>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正文文本 字符"/>
    <w:basedOn w:val="a0"/>
    <w:link w:val="a5"/>
    <w:uiPriority w:val="1"/>
    <w:rPr>
      <w:rFonts w:ascii="宋体" w:eastAsia="宋体" w:hAnsi="宋体" w:cs="宋体"/>
      <w:kern w:val="0"/>
      <w:sz w:val="24"/>
      <w:szCs w:val="24"/>
      <w:lang w:val="zh-CN" w:bidi="zh-CN"/>
    </w:rPr>
  </w:style>
  <w:style w:type="character" w:styleId="ab">
    <w:name w:val="annotation reference"/>
    <w:basedOn w:val="a0"/>
    <w:uiPriority w:val="99"/>
    <w:semiHidden/>
    <w:unhideWhenUsed/>
    <w:rPr>
      <w:sz w:val="21"/>
      <w:szCs w:val="21"/>
    </w:rPr>
  </w:style>
  <w:style w:type="paragraph" w:styleId="ac">
    <w:name w:val="Balloon Text"/>
    <w:basedOn w:val="a"/>
    <w:link w:val="ad"/>
    <w:uiPriority w:val="99"/>
    <w:semiHidden/>
    <w:unhideWhenUsed/>
    <w:rsid w:val="00904B60"/>
    <w:rPr>
      <w:sz w:val="18"/>
      <w:szCs w:val="18"/>
    </w:rPr>
  </w:style>
  <w:style w:type="character" w:customStyle="1" w:styleId="ad">
    <w:name w:val="批注框文本 字符"/>
    <w:basedOn w:val="a0"/>
    <w:link w:val="ac"/>
    <w:uiPriority w:val="99"/>
    <w:semiHidden/>
    <w:rsid w:val="00904B60"/>
    <w:rPr>
      <w:kern w:val="2"/>
      <w:sz w:val="18"/>
      <w:szCs w:val="18"/>
    </w:rPr>
  </w:style>
  <w:style w:type="paragraph" w:styleId="ae">
    <w:name w:val="annotation subject"/>
    <w:basedOn w:val="a3"/>
    <w:next w:val="a3"/>
    <w:link w:val="af"/>
    <w:uiPriority w:val="99"/>
    <w:semiHidden/>
    <w:unhideWhenUsed/>
    <w:rsid w:val="00904B60"/>
    <w:rPr>
      <w:b/>
      <w:bCs/>
    </w:rPr>
  </w:style>
  <w:style w:type="character" w:customStyle="1" w:styleId="a4">
    <w:name w:val="批注文字 字符"/>
    <w:basedOn w:val="a0"/>
    <w:link w:val="a3"/>
    <w:uiPriority w:val="99"/>
    <w:semiHidden/>
    <w:rsid w:val="00904B60"/>
    <w:rPr>
      <w:kern w:val="2"/>
      <w:sz w:val="21"/>
      <w:szCs w:val="22"/>
    </w:rPr>
  </w:style>
  <w:style w:type="character" w:customStyle="1" w:styleId="af">
    <w:name w:val="批注主题 字符"/>
    <w:basedOn w:val="a4"/>
    <w:link w:val="ae"/>
    <w:uiPriority w:val="99"/>
    <w:semiHidden/>
    <w:rsid w:val="00904B60"/>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0455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226</Words>
  <Characters>1292</Characters>
  <Application>Microsoft Office Word</Application>
  <DocSecurity>0</DocSecurity>
  <Lines>10</Lines>
  <Paragraphs>3</Paragraphs>
  <ScaleCrop>false</ScaleCrop>
  <Company>P R C</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SBK</cp:lastModifiedBy>
  <cp:revision>4</cp:revision>
  <dcterms:created xsi:type="dcterms:W3CDTF">2024-04-09T16:22:00Z</dcterms:created>
  <dcterms:modified xsi:type="dcterms:W3CDTF">2025-07-23T09:41:00Z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