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93A7C">
      <w:pPr>
        <w:tabs>
          <w:tab w:val="left" w:pos="420"/>
        </w:tabs>
        <w:spacing w:line="360" w:lineRule="auto"/>
        <w:jc w:val="center"/>
        <w:rPr>
          <w:rFonts w:ascii="黑体" w:hAnsi="黑体" w:eastAsia="黑体"/>
          <w:bCs/>
          <w:color w:val="000000"/>
          <w:sz w:val="72"/>
          <w:szCs w:val="72"/>
        </w:rPr>
      </w:pPr>
    </w:p>
    <w:p w14:paraId="5EF26304">
      <w:pPr>
        <w:tabs>
          <w:tab w:val="left" w:pos="420"/>
        </w:tabs>
        <w:spacing w:line="360" w:lineRule="auto"/>
        <w:jc w:val="center"/>
        <w:rPr>
          <w:rFonts w:ascii="黑体" w:hAnsi="黑体" w:eastAsia="黑体"/>
          <w:bCs/>
          <w:color w:val="000000"/>
          <w:sz w:val="72"/>
          <w:szCs w:val="72"/>
        </w:rPr>
      </w:pPr>
      <w:r>
        <w:rPr>
          <w:rFonts w:hint="eastAsia" w:ascii="黑体" w:hAnsi="黑体" w:eastAsia="黑体"/>
          <w:bCs/>
          <w:color w:val="000000"/>
          <w:sz w:val="72"/>
          <w:szCs w:val="72"/>
        </w:rPr>
        <w:t>中山大学肿瘤防治中心</w:t>
      </w:r>
    </w:p>
    <w:p w14:paraId="4C77FF72">
      <w:pPr>
        <w:tabs>
          <w:tab w:val="left" w:pos="420"/>
        </w:tabs>
        <w:spacing w:line="360" w:lineRule="auto"/>
        <w:jc w:val="center"/>
        <w:rPr>
          <w:rFonts w:ascii="黑体" w:hAnsi="黑体" w:eastAsia="黑体"/>
          <w:bCs/>
          <w:color w:val="000000"/>
          <w:sz w:val="72"/>
          <w:szCs w:val="72"/>
        </w:rPr>
      </w:pPr>
    </w:p>
    <w:p w14:paraId="653EA8C2">
      <w:pPr>
        <w:tabs>
          <w:tab w:val="left" w:pos="420"/>
        </w:tabs>
        <w:spacing w:line="360" w:lineRule="auto"/>
        <w:jc w:val="center"/>
        <w:rPr>
          <w:rFonts w:ascii="黑体" w:hAnsi="黑体" w:eastAsia="黑体"/>
          <w:bCs/>
          <w:color w:val="000000"/>
          <w:sz w:val="72"/>
          <w:szCs w:val="72"/>
        </w:rPr>
      </w:pPr>
    </w:p>
    <w:p w14:paraId="7F8CCD55">
      <w:pPr>
        <w:tabs>
          <w:tab w:val="left" w:pos="420"/>
        </w:tabs>
        <w:spacing w:line="360" w:lineRule="auto"/>
        <w:jc w:val="center"/>
        <w:rPr>
          <w:rFonts w:ascii="黑体" w:hAnsi="黑体" w:eastAsia="黑体"/>
          <w:bCs/>
          <w:color w:val="000000"/>
          <w:sz w:val="72"/>
          <w:szCs w:val="72"/>
        </w:rPr>
      </w:pPr>
      <w:r>
        <w:rPr>
          <w:rFonts w:hint="eastAsia" w:ascii="黑体" w:hAnsi="黑体" w:eastAsia="黑体"/>
          <w:bCs/>
          <w:color w:val="000000"/>
          <w:sz w:val="72"/>
          <w:szCs w:val="72"/>
        </w:rPr>
        <w:t>服</w:t>
      </w:r>
    </w:p>
    <w:p w14:paraId="152591B7">
      <w:pPr>
        <w:tabs>
          <w:tab w:val="left" w:pos="420"/>
        </w:tabs>
        <w:spacing w:line="360" w:lineRule="auto"/>
        <w:jc w:val="center"/>
        <w:rPr>
          <w:rFonts w:ascii="黑体" w:hAnsi="黑体" w:eastAsia="黑体"/>
          <w:bCs/>
          <w:color w:val="000000"/>
          <w:sz w:val="72"/>
          <w:szCs w:val="72"/>
        </w:rPr>
      </w:pPr>
    </w:p>
    <w:p w14:paraId="35666CFA">
      <w:pPr>
        <w:tabs>
          <w:tab w:val="left" w:pos="420"/>
        </w:tabs>
        <w:spacing w:line="360" w:lineRule="auto"/>
        <w:jc w:val="center"/>
        <w:rPr>
          <w:rFonts w:ascii="黑体" w:hAnsi="黑体" w:eastAsia="黑体"/>
          <w:bCs/>
          <w:color w:val="000000"/>
          <w:sz w:val="72"/>
          <w:szCs w:val="72"/>
        </w:rPr>
      </w:pPr>
      <w:r>
        <w:rPr>
          <w:rFonts w:hint="eastAsia" w:ascii="黑体" w:hAnsi="黑体" w:eastAsia="黑体"/>
          <w:bCs/>
          <w:color w:val="000000"/>
          <w:sz w:val="72"/>
          <w:szCs w:val="72"/>
        </w:rPr>
        <w:t>务</w:t>
      </w:r>
    </w:p>
    <w:p w14:paraId="7354FFE3">
      <w:pPr>
        <w:tabs>
          <w:tab w:val="left" w:pos="420"/>
        </w:tabs>
        <w:spacing w:line="360" w:lineRule="auto"/>
        <w:jc w:val="center"/>
        <w:rPr>
          <w:rFonts w:ascii="黑体" w:hAnsi="黑体" w:eastAsia="黑体"/>
          <w:bCs/>
          <w:color w:val="000000"/>
          <w:sz w:val="72"/>
          <w:szCs w:val="72"/>
        </w:rPr>
      </w:pPr>
    </w:p>
    <w:p w14:paraId="2058C2DD">
      <w:pPr>
        <w:tabs>
          <w:tab w:val="left" w:pos="420"/>
        </w:tabs>
        <w:spacing w:line="360" w:lineRule="auto"/>
        <w:jc w:val="center"/>
        <w:rPr>
          <w:rFonts w:ascii="黑体" w:hAnsi="黑体" w:eastAsia="黑体"/>
          <w:bCs/>
          <w:color w:val="000000"/>
          <w:sz w:val="72"/>
          <w:szCs w:val="72"/>
        </w:rPr>
      </w:pPr>
      <w:r>
        <w:rPr>
          <w:rFonts w:hint="eastAsia" w:ascii="黑体" w:hAnsi="黑体" w:eastAsia="黑体"/>
          <w:bCs/>
          <w:color w:val="000000"/>
          <w:sz w:val="72"/>
          <w:szCs w:val="72"/>
        </w:rPr>
        <w:t>合</w:t>
      </w:r>
    </w:p>
    <w:p w14:paraId="04E63C0B">
      <w:pPr>
        <w:tabs>
          <w:tab w:val="left" w:pos="420"/>
        </w:tabs>
        <w:spacing w:line="360" w:lineRule="auto"/>
        <w:jc w:val="center"/>
        <w:rPr>
          <w:rFonts w:ascii="黑体" w:hAnsi="黑体" w:eastAsia="黑体"/>
          <w:bCs/>
          <w:color w:val="000000"/>
          <w:sz w:val="72"/>
          <w:szCs w:val="72"/>
        </w:rPr>
      </w:pPr>
    </w:p>
    <w:p w14:paraId="1E77BED0">
      <w:pPr>
        <w:tabs>
          <w:tab w:val="left" w:pos="420"/>
        </w:tabs>
        <w:spacing w:line="360" w:lineRule="auto"/>
        <w:jc w:val="center"/>
        <w:rPr>
          <w:rFonts w:ascii="黑体" w:hAnsi="黑体" w:eastAsia="黑体"/>
          <w:bCs/>
          <w:color w:val="000000"/>
          <w:sz w:val="72"/>
          <w:szCs w:val="72"/>
        </w:rPr>
      </w:pPr>
      <w:r>
        <w:rPr>
          <w:rFonts w:hint="eastAsia" w:ascii="黑体" w:hAnsi="黑体" w:eastAsia="黑体"/>
          <w:bCs/>
          <w:color w:val="000000"/>
          <w:sz w:val="72"/>
          <w:szCs w:val="72"/>
        </w:rPr>
        <w:t>同</w:t>
      </w:r>
    </w:p>
    <w:p w14:paraId="26D593E2">
      <w:pPr>
        <w:tabs>
          <w:tab w:val="left" w:pos="420"/>
        </w:tabs>
        <w:spacing w:line="360" w:lineRule="auto"/>
        <w:rPr>
          <w:rFonts w:ascii="黑体" w:hAnsi="黑体" w:eastAsia="黑体"/>
          <w:bCs/>
          <w:color w:val="000000"/>
          <w:szCs w:val="21"/>
        </w:rPr>
      </w:pPr>
      <w:r>
        <w:rPr>
          <w:rFonts w:ascii="黑体" w:hAnsi="黑体" w:eastAsia="黑体"/>
          <w:bCs/>
          <w:color w:val="000000"/>
          <w:szCs w:val="21"/>
        </w:rPr>
        <w:t xml:space="preserve"> </w:t>
      </w:r>
    </w:p>
    <w:p w14:paraId="3447F825">
      <w:pPr>
        <w:tabs>
          <w:tab w:val="left" w:pos="420"/>
        </w:tabs>
        <w:spacing w:line="360" w:lineRule="auto"/>
        <w:rPr>
          <w:rFonts w:ascii="黑体" w:hAnsi="黑体" w:eastAsia="黑体"/>
          <w:bCs/>
          <w:color w:val="000000"/>
          <w:szCs w:val="21"/>
        </w:rPr>
      </w:pPr>
    </w:p>
    <w:p w14:paraId="1999AA94">
      <w:pPr>
        <w:tabs>
          <w:tab w:val="left" w:pos="420"/>
        </w:tabs>
        <w:spacing w:line="360" w:lineRule="auto"/>
        <w:ind w:firstLine="960" w:firstLineChars="400"/>
        <w:rPr>
          <w:rFonts w:ascii="黑体" w:hAnsi="黑体" w:eastAsia="黑体"/>
          <w:bCs/>
          <w:color w:val="000000"/>
          <w:sz w:val="24"/>
        </w:rPr>
      </w:pPr>
      <w:r>
        <w:rPr>
          <w:rFonts w:hint="eastAsia" w:ascii="黑体" w:hAnsi="黑体" w:eastAsia="黑体"/>
          <w:bCs/>
          <w:color w:val="000000"/>
          <w:sz w:val="24"/>
        </w:rPr>
        <w:t>合同名称：</w:t>
      </w:r>
      <w:bookmarkStart w:id="0" w:name="OLE_LINK10"/>
      <w:bookmarkStart w:id="1" w:name="OLE_LINK11"/>
      <w:r>
        <w:rPr>
          <w:rFonts w:hint="eastAsia" w:ascii="黑体" w:hAnsi="黑体" w:eastAsia="黑体"/>
          <w:bCs/>
          <w:color w:val="000000"/>
          <w:sz w:val="24"/>
        </w:rPr>
        <w:t>2</w:t>
      </w:r>
      <w:r>
        <w:rPr>
          <w:rFonts w:ascii="黑体" w:hAnsi="黑体" w:eastAsia="黑体"/>
          <w:bCs/>
          <w:color w:val="000000"/>
          <w:sz w:val="24"/>
        </w:rPr>
        <w:t>025</w:t>
      </w:r>
      <w:r>
        <w:rPr>
          <w:rFonts w:hint="eastAsia" w:ascii="黑体" w:hAnsi="黑体" w:eastAsia="黑体"/>
          <w:bCs/>
          <w:color w:val="000000"/>
          <w:sz w:val="24"/>
        </w:rPr>
        <w:t>年膳食物资（餐饮耗材类）</w:t>
      </w:r>
      <w:bookmarkEnd w:id="0"/>
      <w:bookmarkEnd w:id="1"/>
      <w:r>
        <w:rPr>
          <w:rFonts w:hint="eastAsia" w:ascii="黑体" w:hAnsi="黑体" w:eastAsia="黑体"/>
          <w:bCs/>
          <w:color w:val="000000"/>
          <w:sz w:val="24"/>
        </w:rPr>
        <w:t>配送服务合同</w:t>
      </w:r>
    </w:p>
    <w:p w14:paraId="0D831016">
      <w:pPr>
        <w:tabs>
          <w:tab w:val="left" w:pos="420"/>
        </w:tabs>
        <w:spacing w:line="360" w:lineRule="auto"/>
        <w:rPr>
          <w:rFonts w:ascii="黑体" w:hAnsi="黑体" w:eastAsia="黑体"/>
          <w:bCs/>
          <w:color w:val="000000"/>
          <w:sz w:val="24"/>
        </w:rPr>
      </w:pPr>
      <w:r>
        <w:rPr>
          <w:rFonts w:ascii="黑体" w:hAnsi="黑体" w:eastAsia="黑体"/>
          <w:bCs/>
          <w:color w:val="000000"/>
          <w:sz w:val="24"/>
        </w:rPr>
        <w:t xml:space="preserve"> </w:t>
      </w:r>
    </w:p>
    <w:p w14:paraId="7793B0B0">
      <w:pPr>
        <w:tabs>
          <w:tab w:val="left" w:pos="420"/>
        </w:tabs>
        <w:spacing w:line="360" w:lineRule="auto"/>
        <w:ind w:firstLine="960" w:firstLineChars="400"/>
        <w:rPr>
          <w:rFonts w:ascii="黑体" w:hAnsi="黑体" w:eastAsia="黑体"/>
          <w:bCs/>
          <w:color w:val="000000"/>
          <w:sz w:val="24"/>
          <w:u w:val="single"/>
        </w:rPr>
      </w:pPr>
      <w:r>
        <w:rPr>
          <w:rFonts w:hint="eastAsia" w:ascii="黑体" w:hAnsi="黑体" w:eastAsia="黑体"/>
          <w:bCs/>
          <w:color w:val="000000"/>
          <w:sz w:val="24"/>
        </w:rPr>
        <w:t>签约单位：</w:t>
      </w:r>
      <w:r>
        <w:rPr>
          <w:rFonts w:ascii="黑体" w:hAnsi="黑体" w:eastAsia="黑体"/>
          <w:bCs/>
          <w:color w:val="000000"/>
          <w:sz w:val="24"/>
        </w:rPr>
        <w:t>_______________________________________</w:t>
      </w:r>
    </w:p>
    <w:p w14:paraId="6DC75F58">
      <w:pPr>
        <w:tabs>
          <w:tab w:val="left" w:pos="420"/>
        </w:tabs>
        <w:spacing w:line="360" w:lineRule="auto"/>
        <w:rPr>
          <w:rFonts w:ascii="宋体" w:hAnsi="宋体"/>
          <w:bCs/>
          <w:color w:val="000000"/>
          <w:szCs w:val="21"/>
        </w:rPr>
      </w:pPr>
      <w:bookmarkStart w:id="2" w:name="_Toc18985535"/>
      <w:bookmarkStart w:id="3" w:name="_Toc18985701"/>
      <w:bookmarkStart w:id="4" w:name="_Toc18985581"/>
      <w:bookmarkStart w:id="5" w:name="_Toc18984943"/>
    </w:p>
    <w:p w14:paraId="6F9A0A3D">
      <w:pPr>
        <w:tabs>
          <w:tab w:val="left" w:pos="420"/>
        </w:tabs>
        <w:spacing w:line="360" w:lineRule="auto"/>
        <w:rPr>
          <w:rFonts w:ascii="宋体" w:hAnsi="宋体"/>
          <w:bCs/>
          <w:color w:val="000000"/>
          <w:sz w:val="24"/>
          <w:szCs w:val="21"/>
        </w:rPr>
      </w:pPr>
      <w:r>
        <w:rPr>
          <w:rFonts w:ascii="宋体" w:hAnsi="宋体"/>
          <w:bCs/>
          <w:color w:val="000000"/>
          <w:szCs w:val="21"/>
        </w:rPr>
        <w:br w:type="page"/>
      </w:r>
      <w:bookmarkEnd w:id="2"/>
      <w:bookmarkEnd w:id="3"/>
      <w:bookmarkEnd w:id="4"/>
      <w:bookmarkEnd w:id="5"/>
    </w:p>
    <w:p w14:paraId="270EADC7">
      <w:pPr>
        <w:tabs>
          <w:tab w:val="left" w:pos="420"/>
        </w:tabs>
        <w:spacing w:line="276" w:lineRule="auto"/>
        <w:jc w:val="center"/>
        <w:rPr>
          <w:rFonts w:ascii="仿宋" w:hAnsi="仿宋" w:eastAsia="仿宋" w:cs="宋体"/>
          <w:b/>
          <w:color w:val="000000"/>
          <w:szCs w:val="21"/>
        </w:rPr>
      </w:pPr>
      <w:r>
        <w:rPr>
          <w:rFonts w:hint="eastAsia" w:ascii="仿宋" w:hAnsi="仿宋" w:eastAsia="仿宋" w:cs="宋体"/>
          <w:b/>
          <w:color w:val="000000"/>
          <w:szCs w:val="21"/>
        </w:rPr>
        <w:t>2025年膳食物资（餐饮耗材类）配送服务合同</w:t>
      </w:r>
    </w:p>
    <w:p w14:paraId="30ACCF8B">
      <w:pPr>
        <w:tabs>
          <w:tab w:val="left" w:pos="420"/>
        </w:tabs>
        <w:spacing w:line="276" w:lineRule="auto"/>
        <w:jc w:val="center"/>
        <w:rPr>
          <w:rFonts w:ascii="仿宋" w:hAnsi="仿宋" w:eastAsia="仿宋" w:cs="宋体"/>
          <w:b/>
          <w:color w:val="000000"/>
          <w:szCs w:val="21"/>
        </w:rPr>
      </w:pPr>
    </w:p>
    <w:p w14:paraId="3715AE9C">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甲方：中山大学肿瘤防治中心</w:t>
      </w:r>
    </w:p>
    <w:p w14:paraId="3B8855A0">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乙方：</w:t>
      </w:r>
    </w:p>
    <w:p w14:paraId="1BD90004">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 xml:space="preserve"> </w:t>
      </w:r>
    </w:p>
    <w:p w14:paraId="4FAB2C83">
      <w:pPr>
        <w:tabs>
          <w:tab w:val="left" w:pos="420"/>
        </w:tabs>
        <w:spacing w:line="276" w:lineRule="auto"/>
        <w:ind w:firstLine="420" w:firstLineChars="200"/>
        <w:rPr>
          <w:rFonts w:ascii="仿宋" w:hAnsi="仿宋" w:eastAsia="仿宋" w:cs="宋体"/>
          <w:bCs/>
          <w:color w:val="000000"/>
          <w:szCs w:val="21"/>
        </w:rPr>
      </w:pPr>
      <w:r>
        <w:rPr>
          <w:rFonts w:hint="eastAsia" w:ascii="仿宋" w:hAnsi="仿宋" w:eastAsia="仿宋" w:cs="宋体"/>
          <w:bCs/>
          <w:color w:val="000000"/>
          <w:szCs w:val="21"/>
        </w:rPr>
        <w:t>根据《中华人民共和国民法典》等相关法律法规，经甲乙双方友好协商，本着平等、互利、诚实、守信的原则，甲乙双方一致同意签订本合同，具体条款如下：</w:t>
      </w:r>
    </w:p>
    <w:p w14:paraId="3E6C4191">
      <w:pPr>
        <w:tabs>
          <w:tab w:val="left" w:pos="420"/>
        </w:tabs>
        <w:spacing w:line="276" w:lineRule="auto"/>
        <w:ind w:firstLine="420" w:firstLineChars="200"/>
        <w:rPr>
          <w:rFonts w:ascii="仿宋" w:hAnsi="仿宋" w:eastAsia="仿宋" w:cs="宋体"/>
          <w:bCs/>
          <w:color w:val="000000"/>
          <w:szCs w:val="21"/>
        </w:rPr>
      </w:pPr>
    </w:p>
    <w:p w14:paraId="5781F09D">
      <w:pPr>
        <w:numPr>
          <w:ilvl w:val="0"/>
          <w:numId w:val="1"/>
        </w:numPr>
        <w:spacing w:line="276" w:lineRule="auto"/>
        <w:rPr>
          <w:rFonts w:ascii="仿宋" w:hAnsi="仿宋" w:eastAsia="仿宋" w:cs="宋体"/>
          <w:b/>
          <w:color w:val="000000"/>
          <w:szCs w:val="21"/>
        </w:rPr>
      </w:pPr>
      <w:bookmarkStart w:id="6" w:name="_Toc22395"/>
      <w:r>
        <w:rPr>
          <w:rFonts w:hint="eastAsia" w:ascii="仿宋" w:hAnsi="仿宋" w:eastAsia="仿宋" w:cs="宋体"/>
          <w:b/>
          <w:color w:val="000000"/>
          <w:szCs w:val="21"/>
        </w:rPr>
        <w:t>项目概况</w:t>
      </w:r>
    </w:p>
    <w:p w14:paraId="718C4BA1">
      <w:pPr>
        <w:numPr>
          <w:ilvl w:val="0"/>
          <w:numId w:val="2"/>
        </w:num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合同金额￥_</w:t>
      </w:r>
      <w:r>
        <w:rPr>
          <w:rFonts w:ascii="仿宋" w:hAnsi="仿宋" w:eastAsia="仿宋" w:cs="宋体"/>
          <w:bCs/>
          <w:color w:val="000000"/>
          <w:szCs w:val="21"/>
        </w:rPr>
        <w:t>___________</w:t>
      </w:r>
      <w:r>
        <w:rPr>
          <w:rFonts w:hint="eastAsia" w:ascii="仿宋" w:hAnsi="仿宋" w:eastAsia="仿宋" w:cs="宋体"/>
          <w:bCs/>
          <w:color w:val="000000"/>
          <w:szCs w:val="21"/>
        </w:rPr>
        <w:t>万元，按实结算，含越秀院区及黄埔院区的供应量；</w:t>
      </w:r>
    </w:p>
    <w:p w14:paraId="00DABF40">
      <w:pPr>
        <w:numPr>
          <w:ilvl w:val="0"/>
          <w:numId w:val="2"/>
        </w:num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合同供货期：自合同签订日起</w:t>
      </w:r>
      <w:r>
        <w:rPr>
          <w:rFonts w:ascii="仿宋" w:hAnsi="仿宋" w:eastAsia="仿宋" w:cs="宋体"/>
          <w:bCs/>
          <w:color w:val="000000"/>
          <w:szCs w:val="21"/>
        </w:rPr>
        <w:t>3</w:t>
      </w:r>
      <w:r>
        <w:rPr>
          <w:rFonts w:hint="eastAsia" w:ascii="仿宋" w:hAnsi="仿宋" w:eastAsia="仿宋" w:cs="宋体"/>
          <w:bCs/>
          <w:color w:val="000000"/>
          <w:szCs w:val="21"/>
        </w:rPr>
        <w:t>个月，或采购金额达到合同金额时止，以先达到者为准。合同履行期限：自合同生效之日起至合同全部权利义务履行完毕之日止。下单后需2天内供货。</w:t>
      </w:r>
      <w:bookmarkStart w:id="26" w:name="_GoBack"/>
      <w:bookmarkEnd w:id="26"/>
    </w:p>
    <w:p w14:paraId="279509F9">
      <w:pPr>
        <w:numPr>
          <w:ilvl w:val="0"/>
          <w:numId w:val="2"/>
        </w:num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收货地点：</w:t>
      </w:r>
    </w:p>
    <w:p w14:paraId="5F12EB9F">
      <w:pPr>
        <w:tabs>
          <w:tab w:val="left" w:pos="420"/>
        </w:tabs>
        <w:spacing w:line="276" w:lineRule="auto"/>
        <w:ind w:left="420"/>
        <w:rPr>
          <w:rFonts w:ascii="仿宋" w:hAnsi="仿宋" w:eastAsia="仿宋" w:cs="宋体"/>
          <w:bCs/>
          <w:color w:val="000000"/>
          <w:szCs w:val="21"/>
        </w:rPr>
      </w:pPr>
      <w:r>
        <w:rPr>
          <w:rFonts w:hint="eastAsia" w:ascii="仿宋" w:hAnsi="仿宋" w:eastAsia="仿宋" w:cs="宋体"/>
          <w:bCs/>
          <w:color w:val="000000"/>
          <w:szCs w:val="21"/>
        </w:rPr>
        <w:t>3</w:t>
      </w:r>
      <w:r>
        <w:rPr>
          <w:rFonts w:ascii="仿宋" w:hAnsi="仿宋" w:eastAsia="仿宋" w:cs="宋体"/>
          <w:bCs/>
          <w:color w:val="000000"/>
          <w:szCs w:val="21"/>
        </w:rPr>
        <w:t>.1</w:t>
      </w:r>
      <w:r>
        <w:rPr>
          <w:rFonts w:hint="eastAsia" w:ascii="仿宋" w:hAnsi="仿宋" w:eastAsia="仿宋" w:cs="宋体"/>
          <w:bCs/>
          <w:color w:val="000000"/>
          <w:szCs w:val="21"/>
        </w:rPr>
        <w:t>收货地点1：广州市越秀区东风东路651号中山大学肿瘤防治中心越秀院区1号楼23楼职工餐厅；</w:t>
      </w:r>
    </w:p>
    <w:p w14:paraId="0330EF31">
      <w:pPr>
        <w:tabs>
          <w:tab w:val="left" w:pos="420"/>
        </w:tabs>
        <w:spacing w:line="276" w:lineRule="auto"/>
        <w:ind w:left="420"/>
        <w:rPr>
          <w:rFonts w:ascii="仿宋" w:hAnsi="仿宋" w:eastAsia="仿宋" w:cs="宋体"/>
          <w:bCs/>
          <w:color w:val="000000"/>
          <w:szCs w:val="21"/>
        </w:rPr>
      </w:pPr>
      <w:r>
        <w:rPr>
          <w:rFonts w:hint="eastAsia" w:ascii="仿宋" w:hAnsi="仿宋" w:eastAsia="仿宋" w:cs="宋体"/>
          <w:bCs/>
          <w:color w:val="000000"/>
          <w:szCs w:val="21"/>
        </w:rPr>
        <w:t>3</w:t>
      </w:r>
      <w:r>
        <w:rPr>
          <w:rFonts w:ascii="仿宋" w:hAnsi="仿宋" w:eastAsia="仿宋" w:cs="宋体"/>
          <w:bCs/>
          <w:color w:val="000000"/>
          <w:szCs w:val="21"/>
        </w:rPr>
        <w:t>.2</w:t>
      </w:r>
      <w:r>
        <w:rPr>
          <w:rFonts w:hint="eastAsia" w:ascii="仿宋" w:hAnsi="仿宋" w:eastAsia="仿宋" w:cs="宋体"/>
          <w:bCs/>
          <w:color w:val="000000"/>
          <w:szCs w:val="21"/>
        </w:rPr>
        <w:t>收货地点</w:t>
      </w:r>
      <w:r>
        <w:rPr>
          <w:rFonts w:ascii="仿宋" w:hAnsi="仿宋" w:eastAsia="仿宋" w:cs="宋体"/>
          <w:bCs/>
          <w:color w:val="000000"/>
          <w:szCs w:val="21"/>
        </w:rPr>
        <w:t>2</w:t>
      </w:r>
      <w:r>
        <w:rPr>
          <w:rFonts w:hint="eastAsia" w:ascii="仿宋" w:hAnsi="仿宋" w:eastAsia="仿宋" w:cs="宋体"/>
          <w:bCs/>
          <w:color w:val="000000"/>
          <w:szCs w:val="21"/>
        </w:rPr>
        <w:t>：广州市黄埔区中新广州知识城开阳五路1号中山大学肿瘤防治中心黄埔院区负一楼职工餐厅；</w:t>
      </w:r>
    </w:p>
    <w:p w14:paraId="65B3FC13">
      <w:pPr>
        <w:numPr>
          <w:ilvl w:val="0"/>
          <w:numId w:val="2"/>
        </w:num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采购数量：拟采购清单中数量为预估值，用于计算投标总价，实际供货数量以甲方每次提供的订单为准。</w:t>
      </w:r>
    </w:p>
    <w:p w14:paraId="0381984A">
      <w:pPr>
        <w:numPr>
          <w:ilvl w:val="0"/>
          <w:numId w:val="2"/>
        </w:num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送货频次：甲方为三甲公立医院，餐厅365日全年无休，每个院区每周各送货2-3次，法定节假日（如春节、国庆等）应按甲方要求供货。</w:t>
      </w:r>
    </w:p>
    <w:p w14:paraId="62419F74">
      <w:pPr>
        <w:tabs>
          <w:tab w:val="left" w:pos="420"/>
        </w:tabs>
        <w:spacing w:line="276" w:lineRule="auto"/>
        <w:ind w:left="420"/>
        <w:rPr>
          <w:rFonts w:ascii="仿宋" w:hAnsi="仿宋" w:eastAsia="仿宋" w:cs="宋体"/>
          <w:bCs/>
          <w:color w:val="000000"/>
          <w:szCs w:val="21"/>
        </w:rPr>
      </w:pPr>
    </w:p>
    <w:bookmarkEnd w:id="6"/>
    <w:p w14:paraId="09E291CD">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二、服务要求</w:t>
      </w:r>
    </w:p>
    <w:p w14:paraId="04353363">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乙方必须服从甲方实施的《中山大学肿瘤防治中心膳食供应商月度考核表》（以下简称“考核表”）及相关评分准则，月度考核表低于60分扣减当月货款的50%，合同期内考核表月度考核评分累计</w:t>
      </w:r>
      <w:r>
        <w:rPr>
          <w:rFonts w:ascii="仿宋" w:hAnsi="仿宋" w:eastAsia="仿宋" w:cs="宋体"/>
          <w:bCs/>
          <w:color w:val="000000"/>
          <w:szCs w:val="21"/>
        </w:rPr>
        <w:t>1</w:t>
      </w:r>
      <w:r>
        <w:rPr>
          <w:rFonts w:hint="eastAsia" w:ascii="仿宋" w:hAnsi="仿宋" w:eastAsia="仿宋" w:cs="宋体"/>
          <w:bCs/>
          <w:color w:val="000000"/>
          <w:szCs w:val="21"/>
        </w:rPr>
        <w:t>次及以上低于70分，甲方有权终止合同，所发生的一切损失由乙方负责。</w:t>
      </w:r>
    </w:p>
    <w:p w14:paraId="6041FB21">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拟采购产品详见附件一报价明细表。</w:t>
      </w:r>
    </w:p>
    <w:p w14:paraId="365371CD">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甲方提前</w:t>
      </w:r>
      <w:r>
        <w:rPr>
          <w:rFonts w:hint="eastAsia" w:ascii="仿宋" w:hAnsi="仿宋" w:eastAsia="仿宋" w:cs="宋体"/>
          <w:bCs/>
          <w:color w:val="000000"/>
          <w:szCs w:val="21"/>
          <w:u w:val="single"/>
        </w:rPr>
        <w:t xml:space="preserve"> 2</w:t>
      </w:r>
      <w:r>
        <w:rPr>
          <w:rFonts w:hint="eastAsia" w:ascii="仿宋" w:hAnsi="仿宋" w:eastAsia="仿宋" w:cs="宋体"/>
          <w:bCs/>
          <w:color w:val="000000"/>
          <w:szCs w:val="21"/>
        </w:rPr>
        <w:t>天在下午6点前以微信、邮件、书面、电话等方式通知乙方。订单内容包括：品种、品牌（如有）、规格、数量、送货时间、送货地点等。乙方按订单内容准确供货。在收到订单后2小时以内，如不作任何的沟通或反馈，该订货单视作被乙方完全接受（为方便乙方备货，甲方每周五前公布下周的菜单给乙方作参考）。</w:t>
      </w:r>
    </w:p>
    <w:p w14:paraId="7D8738F6">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按甲方规定的配送时间（由甲方通知）将订单货物送达收货地点。若因乙方无法按时送达（不可抗力除外），甲方有权自行采购（乙方需要实报实销发生的相关费用），影响甲方供餐的（如造成甲方供餐延迟、无法开餐、供餐品种临时改变等情况），按考核表扣分，所发生经济损失由乙方负责。合同期内累计达到3次影响甲方供餐的，甲方有权终止合同，所发生经济损失由乙方负责。</w:t>
      </w:r>
    </w:p>
    <w:p w14:paraId="1BCC8735">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对甲方临时的供货要求（每个院区每月原则上不超过8次），乙方需随订随送，并在4小时（不含）内送达收货地点。原则上不允许临时采购未定价的产品，如乙方未经甲方的膳食管理岗同意仍供货，甲方有权不支付该批次产品货款。</w:t>
      </w:r>
    </w:p>
    <w:p w14:paraId="10000008">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乙方须保障产品数量及质量，如发现品短斤缺两，或品种、品牌（如有）、规格型号、价格、质量等未达到合同要求的，甲方拒收，并责令其在2小时（不含）内重新送货，所发生费用由乙方负责。</w:t>
      </w:r>
    </w:p>
    <w:p w14:paraId="161556CF">
      <w:pPr>
        <w:numPr>
          <w:ilvl w:val="0"/>
          <w:numId w:val="3"/>
        </w:numPr>
        <w:spacing w:line="276" w:lineRule="auto"/>
        <w:rPr>
          <w:rFonts w:ascii="仿宋" w:hAnsi="仿宋" w:eastAsia="仿宋" w:cs="宋体"/>
          <w:bCs/>
          <w:color w:val="000000"/>
          <w:szCs w:val="21"/>
        </w:rPr>
      </w:pPr>
      <w:bookmarkStart w:id="7" w:name="OLE_LINK3"/>
      <w:r>
        <w:rPr>
          <w:rFonts w:hint="eastAsia" w:ascii="仿宋" w:hAnsi="仿宋" w:eastAsia="仿宋" w:cs="宋体"/>
          <w:bCs/>
          <w:color w:val="000000"/>
          <w:szCs w:val="21"/>
        </w:rPr>
        <w:t>乙方提供的产品若存在“假冒伪劣”或严重质量问题（如：变质、发霉、有异味、破损等现象），甲方将拒收，乙方必须在2小时（不含）内重新送货。</w:t>
      </w:r>
    </w:p>
    <w:p w14:paraId="42AE8D9A">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不得擅自变更投标产品的包装、规格等，严格按甲方的要求供应，否则甲方拒收，由此所产生的费用由乙方负责。如因产品升级、停产、缺货无法供货等市场流通问题确实需要变更包装、规格的，乙方应事先提出书面申请（须附厂家官方网站公布或厂家、经销商说明函等资料），并经甲方同意后才能变更，新规格的产品价格≤投标产品价格÷投标产品规格×新规格。</w:t>
      </w:r>
    </w:p>
    <w:bookmarkEnd w:id="7"/>
    <w:p w14:paraId="548EF057">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运输容器：要求清洁、干燥、牢固、透气、无污染、无异味等问题，每个品种单独盛装。全部货物均应有良好的防湿、防锈、防潮、防雨、防腐及防碰撞的措施。散装产品应分类包装并好做好密封措施，不能直接外露，防止交叉污染及环境污染。凡由于包装不良造成的损失和由此产生的费用均由乙方承担。</w:t>
      </w:r>
    </w:p>
    <w:p w14:paraId="65DAAA3A">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乙方配送车辆须为投标文件所列拟投入车辆，如非拟投入车辆，须提交车辆相关资料给甲方审批（自有车辆提供乙方所持有的行驶证及有效期内的机动车登记证复印件、租赁车辆提供乙方签订的租赁合同），须经甲方同意方可变更。</w:t>
      </w:r>
    </w:p>
    <w:p w14:paraId="0BD99811">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应充分做好工作人员的培训、教育工作，严格遵守甲方的各项规定。乙方指派的配送人员，持有效的健康证、穿着便于辨认的工衣和配戴胸卡。配送人员遵纪守法、品行良好，在甲方院内活动严格遵守医院各项规章制度，不得做出有损甲方形象和利益的事情。乙方工作人员应服务态度好，工作认真负责。如在工作中失误给甲方造成损失，乙方应承担责任并赔偿损失；赔偿金额可从当月货款中扣减；</w:t>
      </w:r>
    </w:p>
    <w:p w14:paraId="1BEE3341">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合同执行前应向甲方提供为项目负责人、配送人员等相关人员购买的社保证明、健康证（配送人员）等材料。配送人员保持相对稳定，不能频繁更换（更换次数应≤1次/月），更换配送人员须经甲方同意，并做好交接班，确保服务标准不降低。</w:t>
      </w:r>
    </w:p>
    <w:p w14:paraId="0E7CE564">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乙方应积极配合甲方相关业务，包括但不限于收到甲方通知后3个工作日内提供正确无误的报价单、询价价格确认表、送货单、盖章的考核表、发票等情况。</w:t>
      </w:r>
    </w:p>
    <w:p w14:paraId="1582D0E0">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乙方向甲方提供的所有发票均真实、合法、有效的，如提供虚假发票须按虚假发票金额2倍向甲方支付违约金，赔偿甲方因此产生的全部损失，甲方有权立即终止合同，并追究乙方违约责任。</w:t>
      </w:r>
    </w:p>
    <w:p w14:paraId="4BCC0485">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管理人员或项目负责人能积极主动与甲方接洽，倾听甲方意见，追踪产品和服务质量，能根据甲方提出的建议调整服务实施方案，随时解决各类问题，每月随访1次或以上（方式不限），并提供月度书面随访记录表反馈给甲方。</w:t>
      </w:r>
    </w:p>
    <w:p w14:paraId="1E114049">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供货过程中发生情况时，乙方管理层积极沟通及解决问题。出现货物质量问题时，乙方的项目管理人员在4小时（含）内到达现场处理。</w:t>
      </w:r>
    </w:p>
    <w:p w14:paraId="47FCDE77">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乙方必须配合甲方突发事件</w:t>
      </w:r>
      <w:bookmarkStart w:id="8" w:name="OLE_LINK33"/>
      <w:bookmarkStart w:id="9" w:name="OLE_LINK34"/>
      <w:r>
        <w:rPr>
          <w:rFonts w:hint="eastAsia" w:ascii="仿宋" w:hAnsi="仿宋" w:eastAsia="仿宋" w:cs="宋体"/>
          <w:bCs/>
          <w:color w:val="000000"/>
          <w:szCs w:val="21"/>
        </w:rPr>
        <w:t>（疫情防控、极端天气、大面积停电等）</w:t>
      </w:r>
      <w:bookmarkEnd w:id="8"/>
      <w:bookmarkEnd w:id="9"/>
      <w:r>
        <w:rPr>
          <w:rFonts w:hint="eastAsia" w:ascii="仿宋" w:hAnsi="仿宋" w:eastAsia="仿宋" w:cs="宋体"/>
          <w:bCs/>
          <w:color w:val="000000"/>
          <w:szCs w:val="21"/>
        </w:rPr>
        <w:t>的应急配送工作。</w:t>
      </w:r>
    </w:p>
    <w:p w14:paraId="3CDB818A">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由于产品原料质量问题而引起的中毒或肠道病等事故事件，经有关单位鉴定原因后，如确实为乙方产品问题，乙方承担所有的费用（包括但不限于医药费）以及相应的民事或刑事责任。乙方造成安全（监管和食品卫生）事故的，甲方有权单方面终止合同，由此产生的一切经济损失由乙方自行承担。</w:t>
      </w:r>
    </w:p>
    <w:p w14:paraId="777D05BE">
      <w:pPr>
        <w:numPr>
          <w:ilvl w:val="0"/>
          <w:numId w:val="3"/>
        </w:numPr>
        <w:spacing w:line="276" w:lineRule="auto"/>
        <w:rPr>
          <w:rFonts w:ascii="仿宋" w:hAnsi="仿宋" w:eastAsia="仿宋" w:cs="宋体"/>
          <w:bCs/>
          <w:color w:val="000000"/>
          <w:szCs w:val="21"/>
        </w:rPr>
      </w:pPr>
      <w:r>
        <w:rPr>
          <w:rFonts w:hint="eastAsia" w:ascii="仿宋" w:hAnsi="仿宋" w:eastAsia="仿宋" w:cs="宋体"/>
          <w:bCs/>
          <w:color w:val="000000"/>
          <w:szCs w:val="21"/>
        </w:rPr>
        <w:t>如乙方因不可抗力因素必须中途终止合约时，应及时函请同意解约，甲方同意解约时，结清全部货款。除此因素之外乙方无故停止、中断、持续间断供货时，甲方将扣除所有未结货款，乙方不得提出异议。</w:t>
      </w:r>
    </w:p>
    <w:p w14:paraId="715CD1FE">
      <w:pPr>
        <w:numPr>
          <w:ilvl w:val="0"/>
          <w:numId w:val="3"/>
        </w:numPr>
        <w:spacing w:line="276" w:lineRule="auto"/>
        <w:rPr>
          <w:rFonts w:ascii="仿宋" w:hAnsi="仿宋" w:eastAsia="仿宋" w:cs="宋体"/>
          <w:bCs/>
          <w:color w:val="000000"/>
          <w:szCs w:val="21"/>
        </w:rPr>
      </w:pPr>
      <w:bookmarkStart w:id="10" w:name="OLE_LINK21"/>
      <w:r>
        <w:rPr>
          <w:rFonts w:hint="eastAsia" w:ascii="仿宋" w:hAnsi="仿宋" w:eastAsia="仿宋" w:cs="宋体"/>
          <w:bCs/>
          <w:color w:val="000000"/>
          <w:szCs w:val="21"/>
        </w:rPr>
        <w:t>乙方不得将中标项目转包或分包，否则甲方有权单方终止合同，由此产生的一切经济损失由乙方自行承担。</w:t>
      </w:r>
    </w:p>
    <w:bookmarkEnd w:id="10"/>
    <w:p w14:paraId="788885EF">
      <w:pPr>
        <w:spacing w:line="276" w:lineRule="auto"/>
        <w:ind w:firstLine="420" w:firstLineChars="200"/>
        <w:rPr>
          <w:rFonts w:ascii="仿宋" w:hAnsi="仿宋" w:eastAsia="仿宋" w:cs="宋体"/>
          <w:bCs/>
          <w:color w:val="000000"/>
          <w:szCs w:val="21"/>
        </w:rPr>
      </w:pPr>
    </w:p>
    <w:p w14:paraId="4B2A4C30">
      <w:pPr>
        <w:tabs>
          <w:tab w:val="left" w:pos="420"/>
        </w:tabs>
        <w:spacing w:line="276" w:lineRule="auto"/>
        <w:rPr>
          <w:rFonts w:ascii="仿宋" w:hAnsi="仿宋" w:eastAsia="仿宋" w:cs="宋体"/>
          <w:b/>
          <w:color w:val="000000"/>
          <w:szCs w:val="21"/>
        </w:rPr>
      </w:pPr>
      <w:bookmarkStart w:id="11" w:name="_Toc7904"/>
      <w:r>
        <w:rPr>
          <w:rFonts w:hint="eastAsia" w:ascii="仿宋" w:hAnsi="仿宋" w:eastAsia="仿宋" w:cs="宋体"/>
          <w:b/>
          <w:color w:val="000000"/>
          <w:szCs w:val="21"/>
        </w:rPr>
        <w:t>三、定价及结算要求</w:t>
      </w:r>
      <w:bookmarkEnd w:id="11"/>
    </w:p>
    <w:p w14:paraId="5D5CEF75">
      <w:pPr>
        <w:shd w:val="clear" w:color="auto" w:fill="FFFFFF"/>
        <w:snapToGrid w:val="0"/>
        <w:spacing w:line="276" w:lineRule="auto"/>
        <w:jc w:val="left"/>
        <w:rPr>
          <w:rFonts w:ascii="仿宋" w:hAnsi="仿宋" w:eastAsia="仿宋" w:cs="宋体"/>
          <w:bCs/>
          <w:color w:val="000000"/>
          <w:szCs w:val="21"/>
        </w:rPr>
      </w:pPr>
      <w:bookmarkStart w:id="12" w:name="_Toc8341"/>
      <w:r>
        <w:rPr>
          <w:rFonts w:hint="eastAsia" w:ascii="仿宋" w:hAnsi="仿宋" w:eastAsia="仿宋" w:cs="宋体"/>
          <w:bCs/>
          <w:color w:val="000000"/>
          <w:szCs w:val="21"/>
        </w:rPr>
        <w:t>1. 采购清单内品种定价原则：结算单价为对应品种的中标单价，单价包含产品的价格、检测、运输、卸装、快递、售后服务、保险、搬运及税金等一切费用，结算单价在合同期间不变；</w:t>
      </w:r>
    </w:p>
    <w:p w14:paraId="338915F0">
      <w:pPr>
        <w:shd w:val="clear" w:color="auto" w:fill="FFFFFF"/>
        <w:snapToGrid w:val="0"/>
        <w:spacing w:line="276" w:lineRule="auto"/>
        <w:jc w:val="left"/>
        <w:rPr>
          <w:rFonts w:ascii="仿宋" w:hAnsi="仿宋" w:eastAsia="仿宋" w:cs="宋体"/>
          <w:bCs/>
          <w:color w:val="000000"/>
          <w:szCs w:val="21"/>
        </w:rPr>
      </w:pPr>
      <w:r>
        <w:rPr>
          <w:rFonts w:ascii="仿宋" w:hAnsi="仿宋" w:eastAsia="仿宋" w:cs="宋体"/>
          <w:bCs/>
          <w:color w:val="000000"/>
          <w:szCs w:val="21"/>
        </w:rPr>
        <w:t>2</w:t>
      </w:r>
      <w:r>
        <w:rPr>
          <w:rFonts w:hint="eastAsia" w:ascii="仿宋" w:hAnsi="仿宋" w:eastAsia="仿宋" w:cs="宋体"/>
          <w:bCs/>
          <w:color w:val="000000"/>
          <w:szCs w:val="21"/>
        </w:rPr>
        <w:t>. 货款按月结算：</w:t>
      </w:r>
    </w:p>
    <w:p w14:paraId="7479C0F7">
      <w:pPr>
        <w:tabs>
          <w:tab w:val="left" w:pos="420"/>
          <w:tab w:val="left" w:pos="540"/>
        </w:tabs>
        <w:spacing w:line="276" w:lineRule="auto"/>
        <w:ind w:left="420" w:hanging="420"/>
        <w:jc w:val="left"/>
        <w:rPr>
          <w:rFonts w:ascii="仿宋" w:hAnsi="仿宋" w:eastAsia="仿宋" w:cs="宋体"/>
          <w:bCs/>
          <w:color w:val="000000"/>
          <w:kern w:val="0"/>
          <w:szCs w:val="21"/>
          <w:lang w:bidi="ar"/>
        </w:rPr>
      </w:pPr>
      <w:r>
        <w:rPr>
          <w:rFonts w:hint="eastAsia" w:ascii="仿宋" w:hAnsi="仿宋" w:eastAsia="仿宋" w:cs="宋体"/>
          <w:bCs/>
          <w:color w:val="000000"/>
          <w:kern w:val="0"/>
          <w:szCs w:val="21"/>
          <w:lang w:bidi="ar"/>
        </w:rPr>
        <w:t>1） 当月账期为上月26日至当月25日（例：4月26日至5月25日为5月份的当月账期），如账期日有调整，甲方会书面/邮件/微信等方式通知乙方。</w:t>
      </w:r>
    </w:p>
    <w:p w14:paraId="6D94D7AB">
      <w:pPr>
        <w:tabs>
          <w:tab w:val="left" w:pos="420"/>
          <w:tab w:val="left" w:pos="540"/>
        </w:tabs>
        <w:spacing w:line="276" w:lineRule="auto"/>
        <w:ind w:left="420" w:hanging="420"/>
        <w:jc w:val="left"/>
        <w:rPr>
          <w:rFonts w:ascii="仿宋" w:hAnsi="仿宋" w:eastAsia="仿宋" w:cs="宋体"/>
          <w:bCs/>
          <w:color w:val="000000"/>
          <w:kern w:val="0"/>
          <w:szCs w:val="21"/>
          <w:lang w:bidi="ar"/>
        </w:rPr>
      </w:pPr>
      <w:r>
        <w:rPr>
          <w:rFonts w:ascii="仿宋" w:hAnsi="仿宋" w:eastAsia="仿宋" w:cs="宋体"/>
          <w:bCs/>
          <w:color w:val="000000"/>
          <w:kern w:val="0"/>
          <w:szCs w:val="21"/>
          <w:lang w:bidi="ar"/>
        </w:rPr>
        <w:t>2</w:t>
      </w:r>
      <w:r>
        <w:rPr>
          <w:rFonts w:hint="eastAsia" w:ascii="仿宋" w:hAnsi="仿宋" w:eastAsia="仿宋" w:cs="宋体"/>
          <w:bCs/>
          <w:color w:val="000000"/>
          <w:kern w:val="0"/>
          <w:szCs w:val="21"/>
          <w:lang w:bidi="ar"/>
        </w:rPr>
        <w:t>）甲方与乙方按定价原则及相对应品种的实际验收量核对当月供货额，并按 “中山大学肿瘤防治中心膳食供应商月度考核表”的考核得分结果，双方核准当月的供货额。</w:t>
      </w:r>
    </w:p>
    <w:p w14:paraId="2F954F53">
      <w:pPr>
        <w:tabs>
          <w:tab w:val="left" w:pos="420"/>
          <w:tab w:val="left" w:pos="540"/>
        </w:tabs>
        <w:spacing w:line="276" w:lineRule="auto"/>
        <w:ind w:left="420" w:hanging="420"/>
        <w:jc w:val="left"/>
        <w:rPr>
          <w:rFonts w:ascii="仿宋" w:hAnsi="仿宋" w:eastAsia="仿宋" w:cs="宋体"/>
          <w:bCs/>
          <w:color w:val="000000"/>
          <w:kern w:val="0"/>
          <w:szCs w:val="21"/>
          <w:lang w:bidi="ar"/>
        </w:rPr>
      </w:pPr>
      <w:r>
        <w:rPr>
          <w:rFonts w:hint="eastAsia" w:ascii="仿宋" w:hAnsi="仿宋" w:eastAsia="仿宋" w:cs="宋体"/>
          <w:bCs/>
          <w:color w:val="000000"/>
          <w:kern w:val="0"/>
          <w:szCs w:val="21"/>
          <w:lang w:bidi="ar"/>
        </w:rPr>
        <w:t>当月供货额=∑清单内、外对应品种的结算单价×该品种的实际供货量-月度考核表减扣金额及违约金。</w:t>
      </w:r>
    </w:p>
    <w:p w14:paraId="773F7BC4">
      <w:pPr>
        <w:tabs>
          <w:tab w:val="left" w:pos="420"/>
          <w:tab w:val="left" w:pos="540"/>
        </w:tabs>
        <w:spacing w:line="276" w:lineRule="auto"/>
        <w:ind w:left="420" w:hanging="420"/>
        <w:jc w:val="left"/>
        <w:rPr>
          <w:rFonts w:ascii="仿宋" w:hAnsi="仿宋" w:eastAsia="仿宋" w:cs="宋体"/>
          <w:bCs/>
          <w:color w:val="000000"/>
          <w:kern w:val="0"/>
          <w:szCs w:val="21"/>
          <w:lang w:bidi="ar"/>
        </w:rPr>
      </w:pPr>
      <w:r>
        <w:rPr>
          <w:rFonts w:ascii="仿宋" w:hAnsi="仿宋" w:eastAsia="仿宋" w:cs="宋体"/>
          <w:bCs/>
          <w:color w:val="000000"/>
          <w:kern w:val="0"/>
          <w:szCs w:val="21"/>
          <w:lang w:bidi="ar"/>
        </w:rPr>
        <w:t>3</w:t>
      </w:r>
      <w:r>
        <w:rPr>
          <w:rFonts w:hint="eastAsia" w:ascii="仿宋" w:hAnsi="仿宋" w:eastAsia="仿宋" w:cs="宋体"/>
          <w:bCs/>
          <w:color w:val="000000"/>
          <w:kern w:val="0"/>
          <w:szCs w:val="21"/>
          <w:lang w:bidi="ar"/>
        </w:rPr>
        <w:t>）</w:t>
      </w:r>
      <w:bookmarkStart w:id="13" w:name="OLE_LINK35"/>
      <w:bookmarkStart w:id="14" w:name="OLE_LINK36"/>
      <w:r>
        <w:rPr>
          <w:rFonts w:hint="eastAsia" w:ascii="仿宋" w:hAnsi="仿宋" w:eastAsia="仿宋" w:cs="宋体"/>
          <w:bCs/>
          <w:color w:val="000000"/>
          <w:kern w:val="0"/>
          <w:szCs w:val="21"/>
          <w:lang w:bidi="ar"/>
        </w:rPr>
        <w:t>甲方自收到发票且项目满足合同支付条件的，10个工作日内将货款支付到乙方账户；对于不满足合同约定支付条件的，乙方须按甲方要求完善，直至满足支付条件，甲方在10个工作日内将货款支付到乙方账户。若甲方没有按时支付合同款项并且在收到乙方书面催款通知后20个工作日内仍未支付的，除因不可抗力的因素外，乙方有权就延迟付款部分按照每日3‰的比例向甲方收取延期付款违约金，此违约金达到合同价格的5%时，乙方还可考虑终止合同。若甲方在收到乙方催款通知后约定时间内履约支付合同款项，乙方无权再向甲方追溯逾期付款的相关法律责任。</w:t>
      </w:r>
      <w:bookmarkEnd w:id="13"/>
      <w:bookmarkEnd w:id="14"/>
    </w:p>
    <w:p w14:paraId="5E91AE88">
      <w:pPr>
        <w:tabs>
          <w:tab w:val="left" w:pos="420"/>
          <w:tab w:val="left" w:pos="540"/>
        </w:tabs>
        <w:spacing w:line="276" w:lineRule="auto"/>
        <w:ind w:left="420" w:hanging="420"/>
        <w:jc w:val="left"/>
        <w:rPr>
          <w:rFonts w:ascii="仿宋" w:hAnsi="仿宋" w:eastAsia="仿宋" w:cs="宋体"/>
          <w:bCs/>
          <w:color w:val="000000"/>
          <w:kern w:val="0"/>
          <w:szCs w:val="21"/>
          <w:lang w:bidi="ar"/>
        </w:rPr>
      </w:pPr>
    </w:p>
    <w:p w14:paraId="17BC171E">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四、食品安全及产品质量要求</w:t>
      </w:r>
      <w:bookmarkEnd w:id="12"/>
    </w:p>
    <w:p w14:paraId="3A28FBA6">
      <w:pPr>
        <w:tabs>
          <w:tab w:val="left" w:pos="420"/>
        </w:tabs>
        <w:spacing w:line="276" w:lineRule="auto"/>
        <w:rPr>
          <w:rFonts w:ascii="仿宋" w:hAnsi="仿宋" w:eastAsia="仿宋" w:cs="宋体"/>
          <w:bCs/>
          <w:color w:val="000000"/>
          <w:szCs w:val="21"/>
        </w:rPr>
      </w:pPr>
      <w:bookmarkStart w:id="15" w:name="_Toc18829"/>
      <w:r>
        <w:rPr>
          <w:rFonts w:hint="eastAsia" w:ascii="仿宋" w:hAnsi="仿宋" w:eastAsia="仿宋" w:cs="宋体"/>
          <w:bCs/>
          <w:color w:val="000000"/>
          <w:szCs w:val="21"/>
        </w:rPr>
        <w:t>1. 乙方所投标的所有产品必须符合《中华人民共和国食品安全法》的相关规定及对应产品的国家、行业相关的质量要求，须保证提供的产品为合法生产、销售、渠道正规、全新（无损、无污、无皱）产品。</w:t>
      </w:r>
    </w:p>
    <w:p w14:paraId="3F64D75F">
      <w:pPr>
        <w:shd w:val="clear" w:color="auto" w:fill="FFFFFF"/>
        <w:snapToGrid w:val="0"/>
        <w:spacing w:line="276" w:lineRule="auto"/>
        <w:jc w:val="left"/>
        <w:rPr>
          <w:rFonts w:ascii="仿宋" w:hAnsi="仿宋" w:eastAsia="仿宋" w:cs="仿宋"/>
          <w:color w:val="000000"/>
          <w:szCs w:val="21"/>
        </w:rPr>
      </w:pPr>
      <w:r>
        <w:rPr>
          <w:rFonts w:hint="eastAsia" w:ascii="仿宋" w:hAnsi="仿宋" w:eastAsia="仿宋" w:cs="宋体"/>
          <w:bCs/>
          <w:color w:val="000000"/>
          <w:szCs w:val="21"/>
        </w:rPr>
        <w:t xml:space="preserve">2. </w:t>
      </w:r>
      <w:r>
        <w:rPr>
          <w:rFonts w:hint="eastAsia" w:ascii="仿宋" w:hAnsi="仿宋" w:eastAsia="仿宋" w:cs="仿宋"/>
          <w:color w:val="000000"/>
          <w:szCs w:val="21"/>
        </w:rPr>
        <w:t>产品执行标准：GB 4806.7</w:t>
      </w:r>
      <w:r>
        <w:rPr>
          <w:rFonts w:ascii="仿宋" w:hAnsi="仿宋" w:eastAsia="仿宋" w:cs="仿宋"/>
          <w:color w:val="000000"/>
          <w:szCs w:val="21"/>
        </w:rPr>
        <w:t>-</w:t>
      </w:r>
      <w:r>
        <w:rPr>
          <w:rFonts w:hint="eastAsia" w:ascii="仿宋" w:hAnsi="仿宋" w:eastAsia="仿宋" w:cs="仿宋"/>
          <w:color w:val="000000"/>
          <w:szCs w:val="21"/>
        </w:rPr>
        <w:t>2023《食品安全国家标准 食品接触用塑料材料及制品》、GB 4806.8-2022 《食品安全国家标准 食品接触用纸和纸板材料及制品》、GB 9685-2016《食品安全国家标准 食品接触材料及制品用添加剂使用标准》等强制性国家标准，执行标准如有更新，按最新版执行。投标人应保证所投产品严格遵循强制性国家标准的要求，对于不符合标准的产品，坚决不予供货，以保障采购人单位的食品安全及产品质量。</w:t>
      </w:r>
    </w:p>
    <w:p w14:paraId="429BE630">
      <w:pPr>
        <w:shd w:val="clear" w:color="auto" w:fill="FFFFFF"/>
        <w:snapToGrid w:val="0"/>
        <w:spacing w:line="276" w:lineRule="auto"/>
        <w:jc w:val="left"/>
        <w:rPr>
          <w:rFonts w:ascii="仿宋" w:hAnsi="仿宋" w:eastAsia="仿宋" w:cs="仿宋"/>
          <w:color w:val="000000"/>
          <w:szCs w:val="21"/>
        </w:rPr>
      </w:pPr>
      <w:r>
        <w:rPr>
          <w:rFonts w:hint="eastAsia" w:ascii="仿宋" w:hAnsi="仿宋" w:eastAsia="仿宋" w:cs="仿宋"/>
          <w:color w:val="000000"/>
          <w:szCs w:val="21"/>
        </w:rPr>
        <w:t>3.产品执行标准：GB/T18006.1-2009《塑料一次性餐饮具通用技术要求》、GB/T 18006.3-2020《一次性可降解餐饮具通用技术要求》、GB/T18006.3-2020《一次性可降解餐饮具通用技术要求》、</w:t>
      </w:r>
      <w:r>
        <w:rPr>
          <w:rFonts w:ascii="仿宋" w:hAnsi="仿宋" w:eastAsia="仿宋" w:cs="仿宋"/>
          <w:color w:val="000000"/>
          <w:szCs w:val="21"/>
        </w:rPr>
        <w:t>GB/T 36787-2018</w:t>
      </w:r>
      <w:r>
        <w:rPr>
          <w:rFonts w:hint="eastAsia" w:ascii="仿宋" w:hAnsi="仿宋" w:eastAsia="仿宋" w:cs="仿宋"/>
          <w:color w:val="000000"/>
          <w:szCs w:val="21"/>
        </w:rPr>
        <w:t>《纸浆模塑餐具》、GB/T 27589-2011《纸餐盒》、GB/T 27590-2022《纸杯》、QB/T 4049-2021《塑料饮水口杯》等推荐性国家标准及行业标准等，执行标准如有更新 ，按最新版执行。</w:t>
      </w:r>
    </w:p>
    <w:p w14:paraId="43A5EE99">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4.保质期内非因甲方的人为原因而出现产品质量问题，由乙方负责包换或包退，并承担因此而产生的一切费用。</w:t>
      </w:r>
    </w:p>
    <w:p w14:paraId="62EA2951">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5.乙方负责供应产品的质量检测工作，所产生的费用由乙方负责。甲方有权不定期委托有资质的质检部门对乙方供应的产品进行检测。如检测结果不达标的，费用由乙方负责，并在乙方无法提供合理解析的情况下，扣除当天的供货款作为罚金。同时，甲方有权追讨由此而引起的责任。合同期内累计检测不合格两次的，甲方有权终止合同，由此引发的所有损失由乙方负责。</w:t>
      </w:r>
    </w:p>
    <w:p w14:paraId="7C58D365">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6.因产品的质量问题而发生争议，由广东省或广州市质检部门进行质量鉴定。货物符合质量标准的，鉴定费用由甲方承担；货物不符合质量标准的，鉴定费用由乙方承担。</w:t>
      </w:r>
    </w:p>
    <w:p w14:paraId="3B45A88E">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7.有效期：乙方应保证所供产品其剩余有效期不得少于标注有效期的70%。如有效期少于标注有效期的70%，甲方要求乙方配合相应产品的更换工作，所产生的费用由乙方负责。</w:t>
      </w:r>
    </w:p>
    <w:p w14:paraId="0F469734">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8. 包装产品应由正规厂家生产，符合相关法律法规及行业规定，包装严实不漏，印有食品生产许可证编号、厂家、委托加工商（如有）、生产日期、保质期（有效期）等信息。</w:t>
      </w:r>
    </w:p>
    <w:p w14:paraId="0353C3BC">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9. 乙方提供的产品来源清晰，可追溯 ， 乙方送货时，同时提供产品质量合格材料：当批次产品检验合格证明（第三方检测报告或生产厂家检验合格证明）。</w:t>
      </w:r>
    </w:p>
    <w:p w14:paraId="114629DC">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10. 产品具体要求：</w:t>
      </w:r>
    </w:p>
    <w:p w14:paraId="2CAC96A2">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1）干净卫生、无毒性、无公害，用料足，克重高，承重好，不软塌，不易变形。</w:t>
      </w:r>
    </w:p>
    <w:p w14:paraId="04A8E1F9">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2）感官要求：外观完好，色泽正常、表面平整洁净、质地均匀、边缘光滑；造型美观，拿、放方便；无模型缺陷、毛刺、起泡、划痕、皱褶、剥离、破裂、穿孔、油污、尘土、霉变、异嗅及其他异物等。带盖产品盖合方便平整，容器与盖匹配。具有容器功能的产品，应放置稳定。有颜色的餐饮具不能有明显的变色、退色、颜色深浅不均（有装饰要求除外）、污点等。</w:t>
      </w:r>
    </w:p>
    <w:p w14:paraId="74B3FDBD">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3）杯类：装饮品后杯身、杯盖不变形，扣盖方便，带盖饮用不移位、饮品不渗漏。</w:t>
      </w:r>
    </w:p>
    <w:p w14:paraId="7FC94ED2">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4）包装袋类：保鲜袋外包装须标注等使用材料为PP/食品级PE/食品直接接触用PE，使用最高温度≥100°。</w:t>
      </w:r>
    </w:p>
    <w:p w14:paraId="77F67A98">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5）竹筷要求每双独立包装，表面光滑，无竹粉，无倒刺、无霉变等质量问题。</w:t>
      </w:r>
    </w:p>
    <w:p w14:paraId="36FD2DE4">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6）碗类、饭盒类：</w:t>
      </w:r>
    </w:p>
    <w:p w14:paraId="379D5079">
      <w:pPr>
        <w:tabs>
          <w:tab w:val="left" w:pos="420"/>
        </w:tabs>
        <w:spacing w:line="276" w:lineRule="auto"/>
        <w:ind w:firstLine="420" w:firstLineChars="200"/>
        <w:rPr>
          <w:rFonts w:ascii="仿宋" w:hAnsi="仿宋" w:eastAsia="仿宋" w:cs="宋体"/>
          <w:bCs/>
          <w:color w:val="000000"/>
          <w:szCs w:val="21"/>
        </w:rPr>
      </w:pPr>
      <w:r>
        <w:rPr>
          <w:rFonts w:hint="eastAsia" w:ascii="仿宋" w:hAnsi="仿宋" w:eastAsia="仿宋" w:cs="宋体"/>
          <w:bCs/>
          <w:color w:val="000000"/>
          <w:szCs w:val="21"/>
        </w:rPr>
        <w:t>材质PP5/PP（聚丙烯），盒盖整齐无偏离，扣盖方便，扣盖后牢固、不移位、汤汁不渗漏；耐热水、热油试验后，不变形、起皮、起皱、渗漏；微波炉试验5分钟后不变形、缺陷、渗漏和异常，适合微波炉烘烤，冰箱冷冻保鲜；饭盒类当负重3kg时，高度变化≤5%，打餐后叠放10个饭盒不倒不塌不变形，汤汁不渗漏。</w:t>
      </w:r>
    </w:p>
    <w:p w14:paraId="08CCB19A">
      <w:pPr>
        <w:tabs>
          <w:tab w:val="left" w:pos="420"/>
        </w:tabs>
        <w:spacing w:line="276" w:lineRule="auto"/>
        <w:ind w:firstLine="420" w:firstLineChars="200"/>
        <w:rPr>
          <w:rFonts w:ascii="仿宋" w:hAnsi="仿宋" w:eastAsia="仿宋" w:cs="宋体"/>
          <w:bCs/>
          <w:color w:val="000000"/>
          <w:szCs w:val="21"/>
        </w:rPr>
      </w:pPr>
    </w:p>
    <w:p w14:paraId="162010D9">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五、</w:t>
      </w:r>
      <w:bookmarkStart w:id="16" w:name="OLE_LINK12"/>
      <w:bookmarkStart w:id="17" w:name="OLE_LINK13"/>
      <w:r>
        <w:rPr>
          <w:rFonts w:hint="eastAsia" w:ascii="仿宋" w:hAnsi="仿宋" w:eastAsia="仿宋" w:cs="宋体"/>
          <w:b/>
          <w:color w:val="000000"/>
          <w:szCs w:val="21"/>
        </w:rPr>
        <w:t>验收要求</w:t>
      </w:r>
      <w:bookmarkEnd w:id="15"/>
    </w:p>
    <w:p w14:paraId="6E243A9A">
      <w:pPr>
        <w:spacing w:line="276" w:lineRule="auto"/>
        <w:rPr>
          <w:rFonts w:ascii="仿宋" w:hAnsi="仿宋" w:eastAsia="仿宋" w:cs="宋体"/>
          <w:bCs/>
          <w:color w:val="000000"/>
          <w:szCs w:val="21"/>
        </w:rPr>
      </w:pPr>
      <w:r>
        <w:rPr>
          <w:rFonts w:hint="eastAsia" w:ascii="仿宋" w:hAnsi="仿宋" w:eastAsia="仿宋" w:cs="宋体"/>
          <w:bCs/>
          <w:color w:val="000000"/>
          <w:szCs w:val="21"/>
        </w:rPr>
        <w:t>1. 甲方按照“二、服务要求”及“四、食品安全及产品质量要求”作为验收标准进行验收。货不对板时，作退换货处理。</w:t>
      </w:r>
    </w:p>
    <w:p w14:paraId="04696074">
      <w:pPr>
        <w:spacing w:line="276" w:lineRule="auto"/>
        <w:rPr>
          <w:rFonts w:ascii="仿宋" w:hAnsi="仿宋" w:eastAsia="仿宋" w:cs="宋体"/>
          <w:bCs/>
          <w:color w:val="000000"/>
          <w:szCs w:val="21"/>
        </w:rPr>
      </w:pPr>
      <w:r>
        <w:rPr>
          <w:rFonts w:hint="eastAsia" w:ascii="仿宋" w:hAnsi="仿宋" w:eastAsia="仿宋" w:cs="宋体"/>
          <w:bCs/>
          <w:color w:val="000000"/>
          <w:szCs w:val="21"/>
        </w:rPr>
        <w:t>2.</w:t>
      </w:r>
      <w:r>
        <w:rPr>
          <w:rFonts w:hint="eastAsia" w:ascii="仿宋" w:hAnsi="仿宋" w:eastAsia="仿宋" w:cs="宋体"/>
          <w:bCs/>
          <w:color w:val="000000"/>
          <w:szCs w:val="21"/>
        </w:rPr>
        <w:tab/>
      </w:r>
      <w:r>
        <w:rPr>
          <w:rFonts w:hint="eastAsia" w:ascii="仿宋" w:hAnsi="仿宋" w:eastAsia="仿宋" w:cs="宋体"/>
          <w:bCs/>
          <w:color w:val="000000"/>
          <w:szCs w:val="21"/>
        </w:rPr>
        <w:t>实际数量以甲方验货及过磅数量为准，供应商每次随货送上至少一式两份的纸质版送货清单，包含：品种、品牌（如有）、规格、配送数量、实收数量、单价、总金额、送货人签字等，并加盖公章或送货专用章；货物送达甲方指定地点后，由双方工作人员按送货单进行初步验收和签名确认。</w:t>
      </w:r>
    </w:p>
    <w:p w14:paraId="15B966BF">
      <w:pPr>
        <w:tabs>
          <w:tab w:val="left" w:pos="420"/>
          <w:tab w:val="left" w:pos="540"/>
        </w:tabs>
        <w:spacing w:line="276" w:lineRule="auto"/>
        <w:jc w:val="left"/>
        <w:rPr>
          <w:rFonts w:ascii="仿宋" w:hAnsi="仿宋" w:eastAsia="仿宋" w:cs="宋体"/>
          <w:bCs/>
          <w:color w:val="000000"/>
          <w:kern w:val="0"/>
          <w:szCs w:val="21"/>
          <w:lang w:bidi="ar"/>
        </w:rPr>
      </w:pPr>
      <w:r>
        <w:rPr>
          <w:rFonts w:hint="eastAsia" w:ascii="仿宋" w:hAnsi="仿宋" w:eastAsia="仿宋" w:cs="宋体"/>
          <w:bCs/>
          <w:color w:val="000000"/>
          <w:kern w:val="0"/>
          <w:szCs w:val="21"/>
        </w:rPr>
        <w:t>3. 初步验收包括品种、品牌（如有）、规格、配送数量、实收数量、单价、总金额、外观包装是否完好、外观质量等。初步验收仅代表甲方收到乙方送达货物的数量，并不代表甲方已认可乙方货物的质量。甲方若在使用过程中发现货物存在质量问题，乙方应在1个工作日内办理退货或换货。甲方初步验收后签字确认，双方各持一份，作为送、收货凭证及结算依据。</w:t>
      </w:r>
    </w:p>
    <w:p w14:paraId="0916452C">
      <w:pPr>
        <w:tabs>
          <w:tab w:val="left" w:pos="420"/>
          <w:tab w:val="left" w:pos="540"/>
        </w:tabs>
        <w:spacing w:line="276" w:lineRule="auto"/>
        <w:ind w:left="420" w:hanging="420"/>
        <w:jc w:val="left"/>
        <w:rPr>
          <w:rFonts w:ascii="仿宋" w:hAnsi="仿宋" w:eastAsia="仿宋" w:cs="宋体"/>
          <w:bCs/>
          <w:color w:val="000000"/>
          <w:kern w:val="0"/>
          <w:szCs w:val="21"/>
          <w:lang w:bidi="ar"/>
        </w:rPr>
      </w:pPr>
      <w:r>
        <w:rPr>
          <w:rFonts w:hint="eastAsia" w:ascii="仿宋" w:hAnsi="仿宋" w:eastAsia="仿宋" w:cs="宋体"/>
          <w:bCs/>
          <w:color w:val="000000"/>
          <w:kern w:val="0"/>
          <w:szCs w:val="21"/>
          <w:lang w:bidi="ar"/>
        </w:rPr>
        <w:t>4.</w:t>
      </w:r>
      <w:r>
        <w:rPr>
          <w:rFonts w:hint="eastAsia" w:ascii="仿宋" w:hAnsi="仿宋" w:eastAsia="仿宋" w:cs="宋体"/>
          <w:bCs/>
          <w:color w:val="000000"/>
          <w:kern w:val="0"/>
          <w:szCs w:val="21"/>
          <w:lang w:bidi="ar"/>
        </w:rPr>
        <w:tab/>
      </w:r>
      <w:r>
        <w:rPr>
          <w:rFonts w:hint="eastAsia" w:ascii="仿宋" w:hAnsi="仿宋" w:eastAsia="仿宋" w:cs="宋体"/>
          <w:bCs/>
          <w:color w:val="000000"/>
          <w:kern w:val="0"/>
          <w:szCs w:val="21"/>
          <w:lang w:bidi="ar"/>
        </w:rPr>
        <w:t>在甲方签收之前，物资的所有权和风险属于乙方，物资发生遗失、损坏由乙方负责。</w:t>
      </w:r>
    </w:p>
    <w:bookmarkEnd w:id="16"/>
    <w:bookmarkEnd w:id="17"/>
    <w:p w14:paraId="10AF3BF7">
      <w:pPr>
        <w:tabs>
          <w:tab w:val="left" w:pos="420"/>
        </w:tabs>
        <w:spacing w:line="276" w:lineRule="auto"/>
        <w:rPr>
          <w:rFonts w:ascii="仿宋" w:hAnsi="仿宋" w:eastAsia="仿宋" w:cs="宋体"/>
          <w:b/>
          <w:color w:val="000000"/>
          <w:szCs w:val="21"/>
        </w:rPr>
      </w:pPr>
    </w:p>
    <w:p w14:paraId="188DDE41">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六、违约责任</w:t>
      </w:r>
    </w:p>
    <w:p w14:paraId="73E0AB62">
      <w:pPr>
        <w:numPr>
          <w:ilvl w:val="0"/>
          <w:numId w:val="4"/>
        </w:numPr>
        <w:spacing w:line="276" w:lineRule="auto"/>
        <w:rPr>
          <w:rFonts w:ascii="仿宋" w:hAnsi="仿宋" w:eastAsia="仿宋" w:cs="宋体"/>
          <w:bCs/>
          <w:color w:val="000000"/>
          <w:szCs w:val="21"/>
        </w:rPr>
      </w:pPr>
      <w:r>
        <w:rPr>
          <w:rFonts w:hint="eastAsia" w:ascii="仿宋" w:hAnsi="仿宋" w:eastAsia="仿宋" w:cs="宋体"/>
          <w:bCs/>
          <w:color w:val="000000"/>
          <w:szCs w:val="21"/>
        </w:rPr>
        <w:t>由于一方违反本合同约定，而导致另一方遭受的所有直接及间接损失或对未违约方构成侵权的，均由违约方负责赔偿并承担相应的责任，具体赔偿金额由双方友好协商解决，如协商不成的，则按本合同第八条的条款解决争议。</w:t>
      </w:r>
    </w:p>
    <w:p w14:paraId="79AF4670">
      <w:pPr>
        <w:numPr>
          <w:ilvl w:val="0"/>
          <w:numId w:val="4"/>
        </w:numPr>
        <w:spacing w:line="276" w:lineRule="auto"/>
        <w:rPr>
          <w:rFonts w:ascii="仿宋" w:hAnsi="仿宋" w:eastAsia="仿宋" w:cs="宋体"/>
          <w:bCs/>
          <w:color w:val="000000"/>
          <w:szCs w:val="21"/>
        </w:rPr>
      </w:pPr>
      <w:r>
        <w:rPr>
          <w:rFonts w:hint="eastAsia" w:ascii="仿宋" w:hAnsi="仿宋" w:eastAsia="仿宋" w:cs="宋体"/>
          <w:bCs/>
          <w:color w:val="000000"/>
          <w:szCs w:val="21"/>
        </w:rPr>
        <w:t>甲方未按时支付合同款项并且在收到乙方书面催款通知后20个工作日内仍未支付的，除因不可抗力的因素外，乙方有权就延迟付款部分按照每日3‰的比例向甲方收取延期付款违约金，此违约金达到合同价格的5%时，乙方还可考虑终止合同。若甲方在收到乙方催款通知后约定时间内履约支付合同款项，乙方无权再向甲方追溯逾期付款的相关法律责任。</w:t>
      </w:r>
    </w:p>
    <w:p w14:paraId="160DA700">
      <w:pPr>
        <w:numPr>
          <w:ilvl w:val="0"/>
          <w:numId w:val="4"/>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乙方合同期内考核表月度考核评分累计</w:t>
      </w:r>
      <w:r>
        <w:rPr>
          <w:rFonts w:ascii="仿宋" w:hAnsi="仿宋" w:eastAsia="仿宋" w:cs="宋体"/>
          <w:bCs/>
          <w:color w:val="000000"/>
          <w:szCs w:val="21"/>
        </w:rPr>
        <w:t>1</w:t>
      </w:r>
      <w:r>
        <w:rPr>
          <w:rFonts w:hint="eastAsia" w:ascii="仿宋" w:hAnsi="仿宋" w:eastAsia="仿宋" w:cs="宋体"/>
          <w:bCs/>
          <w:color w:val="000000"/>
          <w:szCs w:val="21"/>
        </w:rPr>
        <w:t>次及以上低于70分，甲方有权终止合同，所发生的一切损失由乙方负责。</w:t>
      </w:r>
    </w:p>
    <w:p w14:paraId="44242300">
      <w:pPr>
        <w:numPr>
          <w:ilvl w:val="0"/>
          <w:numId w:val="4"/>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供货无法按时送达（不可抗力除外），影响甲方供餐的（如造成甲方供餐延迟、无法开餐、供餐品种临时改变等情况），所发生经济损失由乙方负责。合同期内累计达到3次影响甲方供餐的，甲方有权终止合同，所发生经济损失由乙方负责。</w:t>
      </w:r>
    </w:p>
    <w:p w14:paraId="10FF04DE">
      <w:pPr>
        <w:numPr>
          <w:ilvl w:val="0"/>
          <w:numId w:val="4"/>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乙方向甲方提供的所有发票均真实、合法、有效的，如提供虚假发票须按虚假发票金额2倍向甲方支付违约金，赔偿甲方因此产生的全部损失，甲方有权立即终止合同，并追究乙方违约责任。</w:t>
      </w:r>
    </w:p>
    <w:p w14:paraId="6A0C9F3A">
      <w:pPr>
        <w:numPr>
          <w:ilvl w:val="0"/>
          <w:numId w:val="4"/>
        </w:numPr>
        <w:spacing w:line="276" w:lineRule="auto"/>
        <w:rPr>
          <w:rFonts w:ascii="仿宋" w:hAnsi="仿宋" w:eastAsia="仿宋" w:cs="宋体"/>
          <w:bCs/>
          <w:color w:val="000000"/>
          <w:szCs w:val="21"/>
        </w:rPr>
      </w:pPr>
      <w:r>
        <w:rPr>
          <w:rFonts w:hint="eastAsia" w:ascii="仿宋" w:hAnsi="仿宋" w:eastAsia="仿宋" w:cs="宋体"/>
          <w:bCs/>
          <w:color w:val="000000"/>
          <w:szCs w:val="21"/>
        </w:rPr>
        <w:t>由于产品原料质量问题而引起的中毒或肠道病等事故事件，经有关单位鉴定原因后，如确实为乙方产品问题，乙方承担所有的费用（包括但不限于医药费）以及相应的民事或刑事责任。乙方造成安全（监管和食品卫生）事故的，甲方有权单方面终止合同，由此产生的一切经济损失由乙方自行承担。</w:t>
      </w:r>
    </w:p>
    <w:p w14:paraId="5AE2D748">
      <w:pPr>
        <w:numPr>
          <w:ilvl w:val="0"/>
          <w:numId w:val="4"/>
        </w:numPr>
        <w:spacing w:line="276" w:lineRule="auto"/>
        <w:rPr>
          <w:rFonts w:ascii="仿宋" w:hAnsi="仿宋" w:eastAsia="仿宋" w:cs="宋体"/>
          <w:bCs/>
          <w:color w:val="000000"/>
          <w:szCs w:val="21"/>
        </w:rPr>
      </w:pPr>
      <w:r>
        <w:rPr>
          <w:rFonts w:hint="eastAsia" w:ascii="仿宋" w:hAnsi="仿宋" w:eastAsia="仿宋" w:cs="宋体"/>
          <w:bCs/>
          <w:color w:val="000000"/>
          <w:szCs w:val="21"/>
        </w:rPr>
        <w:t>如乙方因不可抗力因素（自然灾害、政府行为等）必须中途终止合约时，应及时函请同意解约，并提供充分、有效且具有公信力的相关资料（官方文件等）证明该事件直接导致合同无法履行，甲方同意解约时，结清全部货款。除此因素之外乙方无故停止、中断、持续间断供货时，甲方将扣除所有未结货款，乙方不得提出异议。</w:t>
      </w:r>
    </w:p>
    <w:p w14:paraId="531A9077">
      <w:pPr>
        <w:numPr>
          <w:ilvl w:val="0"/>
          <w:numId w:val="4"/>
        </w:numPr>
        <w:spacing w:line="276" w:lineRule="auto"/>
        <w:rPr>
          <w:rFonts w:ascii="仿宋" w:hAnsi="仿宋" w:eastAsia="仿宋" w:cs="宋体"/>
          <w:bCs/>
          <w:color w:val="000000"/>
          <w:szCs w:val="21"/>
        </w:rPr>
      </w:pPr>
      <w:r>
        <w:rPr>
          <w:rFonts w:hint="eastAsia" w:ascii="仿宋" w:hAnsi="仿宋" w:eastAsia="仿宋" w:cs="宋体"/>
          <w:bCs/>
          <w:color w:val="000000"/>
          <w:szCs w:val="21"/>
        </w:rPr>
        <w:t>乙方不得将中标项目转包或分包，否则甲方有权单方终止合同，由此产生的一切经济损失由乙方自行承担。</w:t>
      </w:r>
    </w:p>
    <w:p w14:paraId="25FAB163">
      <w:pPr>
        <w:numPr>
          <w:ilvl w:val="0"/>
          <w:numId w:val="4"/>
        </w:numPr>
        <w:spacing w:line="276" w:lineRule="auto"/>
        <w:rPr>
          <w:rFonts w:ascii="仿宋" w:hAnsi="仿宋" w:eastAsia="仿宋" w:cs="宋体"/>
          <w:bCs/>
          <w:color w:val="000000"/>
          <w:szCs w:val="21"/>
        </w:rPr>
      </w:pPr>
      <w:r>
        <w:rPr>
          <w:rFonts w:hint="eastAsia" w:ascii="仿宋" w:hAnsi="仿宋" w:eastAsia="仿宋" w:cs="宋体"/>
          <w:bCs/>
          <w:color w:val="000000"/>
          <w:szCs w:val="21"/>
        </w:rPr>
        <w:t>甲方有权不定期委托有资质的质检部门对乙方供应的产品进行检测。如检测结果不达标的，费用由乙方负责，并在乙方无法提供合理解析的情况下，扣除当天的供货款作为罚金。同时，甲方有权追讨由此而引起的责任。合同期内累计检测不合格两次的，甲方有权终止合同，由此引发的所有损失由乙方负责。</w:t>
      </w:r>
    </w:p>
    <w:p w14:paraId="52CC5C43">
      <w:pPr>
        <w:tabs>
          <w:tab w:val="left" w:pos="420"/>
        </w:tabs>
        <w:spacing w:line="276" w:lineRule="auto"/>
        <w:rPr>
          <w:rFonts w:ascii="仿宋" w:hAnsi="仿宋" w:eastAsia="仿宋" w:cs="宋体"/>
          <w:bCs/>
          <w:color w:val="000000"/>
          <w:szCs w:val="21"/>
        </w:rPr>
      </w:pPr>
    </w:p>
    <w:p w14:paraId="05A4FB2E">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七、争议解决</w:t>
      </w:r>
    </w:p>
    <w:p w14:paraId="56639056">
      <w:pPr>
        <w:tabs>
          <w:tab w:val="left" w:pos="420"/>
        </w:tabs>
        <w:spacing w:line="276" w:lineRule="auto"/>
        <w:ind w:firstLine="420" w:firstLineChars="200"/>
        <w:rPr>
          <w:rFonts w:ascii="仿宋" w:hAnsi="仿宋" w:eastAsia="仿宋" w:cs="宋体"/>
          <w:bCs/>
          <w:color w:val="000000"/>
          <w:szCs w:val="21"/>
        </w:rPr>
      </w:pPr>
      <w:r>
        <w:rPr>
          <w:rFonts w:hint="eastAsia" w:ascii="仿宋" w:hAnsi="仿宋" w:eastAsia="仿宋" w:cs="宋体"/>
          <w:bCs/>
          <w:color w:val="000000"/>
          <w:szCs w:val="21"/>
        </w:rPr>
        <w:t>在本合同执行过程中，双方须严格遵守国家有关法规、法令和政策，发生任何纠纷时双方应通过友好协商解决，如果无法达成协议，所发生的纠纷将被提交甲方所在地的人民法院解决。</w:t>
      </w:r>
    </w:p>
    <w:p w14:paraId="7B86C9D5">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 xml:space="preserve"> </w:t>
      </w:r>
    </w:p>
    <w:p w14:paraId="66AD106A">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八、廉政建设</w:t>
      </w:r>
    </w:p>
    <w:p w14:paraId="6F7D88C9">
      <w:pPr>
        <w:numPr>
          <w:ilvl w:val="0"/>
          <w:numId w:val="5"/>
        </w:numPr>
        <w:spacing w:line="276" w:lineRule="auto"/>
        <w:rPr>
          <w:rFonts w:ascii="仿宋" w:hAnsi="仿宋" w:eastAsia="仿宋" w:cs="宋体"/>
          <w:bCs/>
          <w:color w:val="000000"/>
          <w:szCs w:val="21"/>
        </w:rPr>
      </w:pPr>
      <w:r>
        <w:rPr>
          <w:rFonts w:hint="eastAsia" w:ascii="仿宋" w:hAnsi="仿宋" w:eastAsia="仿宋" w:cs="宋体"/>
          <w:bCs/>
          <w:color w:val="000000"/>
          <w:szCs w:val="21"/>
        </w:rPr>
        <w:t>甲乙双方在合同履行期间应遵守国家和政府有关廉政方面的规定和要求，禁止任何商业贿赂行为。</w:t>
      </w:r>
    </w:p>
    <w:p w14:paraId="6E0B2E97">
      <w:pPr>
        <w:numPr>
          <w:ilvl w:val="0"/>
          <w:numId w:val="5"/>
        </w:numPr>
        <w:spacing w:line="276" w:lineRule="auto"/>
        <w:rPr>
          <w:rFonts w:ascii="仿宋" w:hAnsi="仿宋" w:eastAsia="仿宋" w:cs="宋体"/>
          <w:bCs/>
          <w:color w:val="000000"/>
          <w:szCs w:val="21"/>
        </w:rPr>
      </w:pPr>
      <w:r>
        <w:rPr>
          <w:rFonts w:hint="eastAsia" w:ascii="仿宋" w:hAnsi="仿宋" w:eastAsia="仿宋" w:cs="宋体"/>
          <w:bCs/>
          <w:color w:val="000000"/>
          <w:szCs w:val="21"/>
        </w:rPr>
        <w:t>如果乙方商业贿赂甲方工作人员属实，甲乙双方合同将解除，并由乙方承担违约及给甲方造成的损失责任。</w:t>
      </w:r>
    </w:p>
    <w:p w14:paraId="1844230F">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 xml:space="preserve"> </w:t>
      </w:r>
    </w:p>
    <w:p w14:paraId="3F1AD748">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九、合同生效及其他</w:t>
      </w:r>
    </w:p>
    <w:p w14:paraId="76FFA116">
      <w:pPr>
        <w:numPr>
          <w:ilvl w:val="0"/>
          <w:numId w:val="6"/>
        </w:numPr>
        <w:spacing w:line="276" w:lineRule="auto"/>
        <w:rPr>
          <w:rFonts w:ascii="仿宋" w:hAnsi="仿宋" w:eastAsia="仿宋" w:cs="宋体"/>
          <w:bCs/>
          <w:color w:val="000000"/>
          <w:szCs w:val="21"/>
        </w:rPr>
      </w:pPr>
      <w:r>
        <w:rPr>
          <w:rFonts w:hint="eastAsia" w:ascii="仿宋" w:hAnsi="仿宋" w:eastAsia="仿宋" w:cs="宋体"/>
          <w:bCs/>
          <w:color w:val="000000"/>
          <w:szCs w:val="21"/>
        </w:rPr>
        <w:t xml:space="preserve"> 与本次采购活动有关的文件是本合同不可分割的组成部分，与本合同具有同等法律效力。</w:t>
      </w:r>
    </w:p>
    <w:p w14:paraId="431A671C">
      <w:pPr>
        <w:numPr>
          <w:ilvl w:val="0"/>
          <w:numId w:val="6"/>
        </w:numPr>
        <w:spacing w:line="276" w:lineRule="auto"/>
        <w:rPr>
          <w:rFonts w:ascii="仿宋" w:hAnsi="仿宋" w:eastAsia="仿宋" w:cs="宋体"/>
          <w:bCs/>
          <w:color w:val="000000"/>
          <w:szCs w:val="21"/>
        </w:rPr>
      </w:pPr>
      <w:r>
        <w:rPr>
          <w:rFonts w:hint="eastAsia" w:ascii="仿宋" w:hAnsi="仿宋" w:eastAsia="仿宋" w:cs="宋体"/>
          <w:bCs/>
          <w:color w:val="000000"/>
          <w:szCs w:val="21"/>
        </w:rPr>
        <w:t>在执行本合同的过程中，所有经双方签署确认的文件（包括补充协议、会议纪要、往来信函等）即成为本合同的有效组成部分。本合同在双方法定代表人或法定代表人的授权代表签字、双方盖章并双方加盖骑缝章后生效。</w:t>
      </w:r>
    </w:p>
    <w:p w14:paraId="21DFDC09">
      <w:pPr>
        <w:numPr>
          <w:ilvl w:val="0"/>
          <w:numId w:val="6"/>
        </w:numPr>
        <w:spacing w:line="276" w:lineRule="auto"/>
        <w:rPr>
          <w:rFonts w:ascii="仿宋" w:hAnsi="仿宋" w:eastAsia="仿宋" w:cs="宋体"/>
          <w:bCs/>
          <w:color w:val="000000"/>
          <w:szCs w:val="21"/>
        </w:rPr>
      </w:pPr>
      <w:bookmarkStart w:id="18" w:name="_Hlk211501757"/>
      <w:r>
        <w:rPr>
          <w:rFonts w:hint="eastAsia" w:ascii="仿宋" w:hAnsi="仿宋" w:eastAsia="仿宋" w:cs="宋体"/>
          <w:bCs/>
          <w:color w:val="000000"/>
          <w:szCs w:val="21"/>
        </w:rPr>
        <w:t>本合同一式</w:t>
      </w:r>
      <w:r>
        <w:rPr>
          <w:rFonts w:hint="eastAsia" w:ascii="仿宋" w:hAnsi="仿宋" w:eastAsia="仿宋" w:cs="宋体"/>
          <w:bCs/>
          <w:color w:val="000000"/>
          <w:szCs w:val="21"/>
          <w:u w:val="single"/>
        </w:rPr>
        <w:t xml:space="preserve"> 伍 </w:t>
      </w:r>
      <w:r>
        <w:rPr>
          <w:rFonts w:hint="eastAsia" w:ascii="仿宋" w:hAnsi="仿宋" w:eastAsia="仿宋" w:cs="宋体"/>
          <w:bCs/>
          <w:color w:val="000000"/>
          <w:szCs w:val="21"/>
        </w:rPr>
        <w:t>份，甲方执</w:t>
      </w:r>
      <w:r>
        <w:rPr>
          <w:rFonts w:hint="eastAsia" w:ascii="仿宋" w:hAnsi="仿宋" w:eastAsia="仿宋" w:cs="宋体"/>
          <w:bCs/>
          <w:color w:val="000000"/>
          <w:szCs w:val="21"/>
          <w:u w:val="single"/>
        </w:rPr>
        <w:t xml:space="preserve"> 肆 </w:t>
      </w:r>
      <w:r>
        <w:rPr>
          <w:rFonts w:hint="eastAsia" w:ascii="仿宋" w:hAnsi="仿宋" w:eastAsia="仿宋" w:cs="宋体"/>
          <w:bCs/>
          <w:color w:val="000000"/>
          <w:szCs w:val="21"/>
        </w:rPr>
        <w:t>份，乙方执</w:t>
      </w:r>
      <w:r>
        <w:rPr>
          <w:rFonts w:hint="eastAsia" w:ascii="仿宋" w:hAnsi="仿宋" w:eastAsia="仿宋" w:cs="宋体"/>
          <w:bCs/>
          <w:color w:val="000000"/>
          <w:szCs w:val="21"/>
          <w:u w:val="single"/>
        </w:rPr>
        <w:t xml:space="preserve"> 壹 </w:t>
      </w:r>
      <w:r>
        <w:rPr>
          <w:rFonts w:hint="eastAsia" w:ascii="仿宋" w:hAnsi="仿宋" w:eastAsia="仿宋" w:cs="宋体"/>
          <w:bCs/>
          <w:color w:val="000000"/>
          <w:szCs w:val="21"/>
        </w:rPr>
        <w:t>份，具同等法律效力</w:t>
      </w:r>
      <w:bookmarkEnd w:id="18"/>
      <w:r>
        <w:rPr>
          <w:rFonts w:hint="eastAsia" w:ascii="仿宋" w:hAnsi="仿宋" w:eastAsia="仿宋" w:cs="宋体"/>
          <w:bCs/>
          <w:color w:val="000000"/>
          <w:szCs w:val="21"/>
        </w:rPr>
        <w:t>。</w:t>
      </w:r>
    </w:p>
    <w:p w14:paraId="332213A2">
      <w:pPr>
        <w:tabs>
          <w:tab w:val="left" w:pos="420"/>
        </w:tabs>
        <w:spacing w:line="276" w:lineRule="auto"/>
        <w:rPr>
          <w:rFonts w:ascii="仿宋" w:hAnsi="仿宋" w:eastAsia="仿宋" w:cs="宋体"/>
          <w:bCs/>
          <w:color w:val="000000"/>
          <w:szCs w:val="21"/>
        </w:rPr>
      </w:pPr>
    </w:p>
    <w:p w14:paraId="1E74FCF4">
      <w:pPr>
        <w:tabs>
          <w:tab w:val="left" w:pos="420"/>
        </w:tabs>
        <w:spacing w:line="276" w:lineRule="auto"/>
        <w:rPr>
          <w:rFonts w:ascii="仿宋" w:hAnsi="仿宋" w:eastAsia="仿宋" w:cs="宋体"/>
          <w:bCs/>
          <w:color w:val="000000"/>
          <w:szCs w:val="21"/>
        </w:rPr>
      </w:pPr>
    </w:p>
    <w:p w14:paraId="7A93AE2E">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附件一：报价明细表</w:t>
      </w:r>
    </w:p>
    <w:p w14:paraId="6A912D90">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附件二：中山大学肿瘤防治中心膳食物资供应商考核表</w:t>
      </w:r>
    </w:p>
    <w:p w14:paraId="70BD5C17">
      <w:pPr>
        <w:tabs>
          <w:tab w:val="left" w:pos="420"/>
        </w:tabs>
        <w:spacing w:line="276" w:lineRule="auto"/>
        <w:rPr>
          <w:rFonts w:ascii="仿宋" w:hAnsi="仿宋" w:eastAsia="仿宋" w:cs="宋体"/>
          <w:bCs/>
          <w:color w:val="000000"/>
          <w:szCs w:val="21"/>
        </w:rPr>
      </w:pPr>
      <w:r>
        <w:rPr>
          <w:rFonts w:hint="eastAsia" w:ascii="仿宋" w:hAnsi="仿宋" w:eastAsia="仿宋" w:cs="宋体"/>
          <w:bCs/>
          <w:color w:val="000000"/>
          <w:szCs w:val="21"/>
        </w:rPr>
        <w:t>附件三：廉洁购销合同</w:t>
      </w:r>
    </w:p>
    <w:p w14:paraId="04E8CAC7">
      <w:pPr>
        <w:tabs>
          <w:tab w:val="left" w:pos="420"/>
        </w:tabs>
        <w:spacing w:line="276" w:lineRule="auto"/>
        <w:rPr>
          <w:rFonts w:ascii="仿宋" w:hAnsi="仿宋" w:eastAsia="仿宋" w:cs="宋体"/>
          <w:bCs/>
          <w:color w:val="000000"/>
          <w:szCs w:val="21"/>
        </w:rPr>
      </w:pPr>
    </w:p>
    <w:p w14:paraId="16F43A9A">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甲方：</w:t>
      </w:r>
      <w:r>
        <w:rPr>
          <w:rFonts w:hint="eastAsia" w:ascii="仿宋" w:hAnsi="仿宋" w:eastAsia="仿宋" w:cs="宋体"/>
          <w:b/>
          <w:color w:val="000000"/>
          <w:szCs w:val="21"/>
          <w:u w:val="single"/>
        </w:rPr>
        <w:t xml:space="preserve">中山大学肿瘤防治中心 </w:t>
      </w:r>
      <w:r>
        <w:rPr>
          <w:rFonts w:hint="eastAsia" w:ascii="仿宋" w:hAnsi="仿宋" w:eastAsia="仿宋" w:cs="宋体"/>
          <w:b/>
          <w:color w:val="000000"/>
          <w:szCs w:val="21"/>
        </w:rPr>
        <w:t xml:space="preserve">              乙方：</w:t>
      </w:r>
    </w:p>
    <w:p w14:paraId="2A85D20F">
      <w:pPr>
        <w:tabs>
          <w:tab w:val="left" w:pos="420"/>
        </w:tabs>
        <w:spacing w:line="276" w:lineRule="auto"/>
        <w:rPr>
          <w:rFonts w:ascii="仿宋" w:hAnsi="仿宋" w:eastAsia="仿宋" w:cs="宋体"/>
          <w:b/>
          <w:color w:val="000000"/>
          <w:szCs w:val="21"/>
          <w:u w:val="single"/>
        </w:rPr>
      </w:pPr>
      <w:r>
        <w:rPr>
          <w:rFonts w:hint="eastAsia" w:ascii="仿宋" w:hAnsi="仿宋" w:eastAsia="仿宋" w:cs="宋体"/>
          <w:b/>
          <w:color w:val="000000"/>
          <w:szCs w:val="21"/>
        </w:rPr>
        <w:t>法定代表人：                             法定代表人：</w:t>
      </w:r>
    </w:p>
    <w:p w14:paraId="30983BEF">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授权代表：                               授权代表：</w:t>
      </w:r>
    </w:p>
    <w:p w14:paraId="4A9D29A0">
      <w:pPr>
        <w:tabs>
          <w:tab w:val="left" w:pos="420"/>
        </w:tabs>
        <w:spacing w:line="276" w:lineRule="auto"/>
        <w:rPr>
          <w:rFonts w:ascii="仿宋" w:hAnsi="仿宋" w:eastAsia="仿宋" w:cs="宋体"/>
          <w:b/>
          <w:color w:val="000000"/>
          <w:szCs w:val="21"/>
        </w:rPr>
      </w:pPr>
      <w:r>
        <w:rPr>
          <w:rFonts w:hint="eastAsia" w:ascii="仿宋" w:hAnsi="仿宋" w:eastAsia="仿宋" w:cs="宋体"/>
          <w:b/>
          <w:color w:val="000000"/>
          <w:szCs w:val="21"/>
        </w:rPr>
        <w:t>日期：                                   日期：</w:t>
      </w:r>
    </w:p>
    <w:p w14:paraId="3E3ED499">
      <w:pPr>
        <w:tabs>
          <w:tab w:val="left" w:pos="420"/>
        </w:tabs>
        <w:spacing w:line="276" w:lineRule="auto"/>
        <w:rPr>
          <w:rFonts w:ascii="仿宋" w:hAnsi="仿宋" w:eastAsia="仿宋"/>
          <w:b/>
          <w:color w:val="000000"/>
          <w:szCs w:val="21"/>
        </w:rPr>
      </w:pPr>
      <w:r>
        <w:rPr>
          <w:rFonts w:hint="eastAsia" w:ascii="仿宋" w:hAnsi="仿宋" w:eastAsia="仿宋" w:cs="宋体"/>
          <w:b/>
          <w:color w:val="000000"/>
          <w:szCs w:val="21"/>
        </w:rPr>
        <w:t>地址：</w:t>
      </w:r>
      <w:r>
        <w:rPr>
          <w:rFonts w:hint="eastAsia" w:ascii="仿宋" w:hAnsi="仿宋" w:eastAsia="仿宋" w:cs="宋体"/>
          <w:b/>
          <w:color w:val="000000"/>
          <w:szCs w:val="21"/>
          <w:u w:val="single"/>
        </w:rPr>
        <w:t>广州市越秀区东风东路651号</w:t>
      </w:r>
      <w:r>
        <w:rPr>
          <w:rFonts w:hint="eastAsia" w:ascii="仿宋" w:hAnsi="仿宋" w:eastAsia="仿宋" w:cs="宋体"/>
          <w:b/>
          <w:color w:val="000000"/>
          <w:szCs w:val="21"/>
        </w:rPr>
        <w:t xml:space="preserve">         地址：</w:t>
      </w:r>
    </w:p>
    <w:p w14:paraId="4B094878">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 xml:space="preserve"> </w:t>
      </w:r>
    </w:p>
    <w:p w14:paraId="6F6456A3">
      <w:pPr>
        <w:tabs>
          <w:tab w:val="left" w:pos="420"/>
        </w:tabs>
        <w:spacing w:line="276" w:lineRule="auto"/>
        <w:rPr>
          <w:rFonts w:ascii="仿宋" w:hAnsi="仿宋" w:eastAsia="仿宋"/>
          <w:bCs/>
          <w:color w:val="000000"/>
          <w:szCs w:val="21"/>
        </w:rPr>
      </w:pPr>
      <w:r>
        <w:rPr>
          <w:rFonts w:ascii="仿宋" w:hAnsi="仿宋" w:eastAsia="仿宋"/>
          <w:bCs/>
          <w:color w:val="000000"/>
          <w:szCs w:val="21"/>
        </w:rPr>
        <w:br w:type="page"/>
      </w:r>
    </w:p>
    <w:p w14:paraId="3C44044E">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附件一：报价明细表</w:t>
      </w:r>
    </w:p>
    <w:p w14:paraId="57105C9E">
      <w:pPr>
        <w:tabs>
          <w:tab w:val="left" w:pos="420"/>
        </w:tabs>
        <w:spacing w:line="276" w:lineRule="auto"/>
        <w:rPr>
          <w:rFonts w:ascii="仿宋" w:hAnsi="仿宋" w:eastAsia="仿宋"/>
          <w:bCs/>
          <w:color w:val="000000"/>
          <w:szCs w:val="21"/>
        </w:rPr>
      </w:pPr>
    </w:p>
    <w:p w14:paraId="2C5E296A">
      <w:pPr>
        <w:tabs>
          <w:tab w:val="left" w:pos="420"/>
        </w:tabs>
        <w:spacing w:line="276" w:lineRule="auto"/>
        <w:rPr>
          <w:rFonts w:ascii="仿宋" w:hAnsi="仿宋" w:eastAsia="仿宋"/>
          <w:bCs/>
          <w:color w:val="000000"/>
          <w:szCs w:val="21"/>
        </w:rPr>
      </w:pPr>
    </w:p>
    <w:p w14:paraId="263EAC31">
      <w:pPr>
        <w:tabs>
          <w:tab w:val="left" w:pos="420"/>
        </w:tabs>
        <w:spacing w:line="276" w:lineRule="auto"/>
        <w:rPr>
          <w:rFonts w:ascii="仿宋" w:hAnsi="仿宋" w:eastAsia="仿宋"/>
          <w:bCs/>
          <w:color w:val="000000"/>
          <w:szCs w:val="21"/>
        </w:rPr>
      </w:pPr>
    </w:p>
    <w:p w14:paraId="0E48FCE7">
      <w:pPr>
        <w:tabs>
          <w:tab w:val="left" w:pos="420"/>
        </w:tabs>
        <w:spacing w:line="276" w:lineRule="auto"/>
        <w:rPr>
          <w:rFonts w:ascii="仿宋" w:hAnsi="仿宋" w:eastAsia="仿宋"/>
          <w:bCs/>
          <w:color w:val="000000"/>
          <w:szCs w:val="21"/>
        </w:rPr>
      </w:pPr>
    </w:p>
    <w:p w14:paraId="213E7FC0">
      <w:pPr>
        <w:tabs>
          <w:tab w:val="left" w:pos="420"/>
        </w:tabs>
        <w:spacing w:line="276" w:lineRule="auto"/>
        <w:rPr>
          <w:rFonts w:ascii="仿宋" w:hAnsi="仿宋" w:eastAsia="仿宋"/>
          <w:bCs/>
          <w:color w:val="000000"/>
          <w:szCs w:val="21"/>
        </w:rPr>
      </w:pPr>
    </w:p>
    <w:p w14:paraId="222D3502">
      <w:pPr>
        <w:tabs>
          <w:tab w:val="left" w:pos="420"/>
        </w:tabs>
        <w:spacing w:line="276" w:lineRule="auto"/>
        <w:rPr>
          <w:rFonts w:ascii="仿宋" w:hAnsi="仿宋" w:eastAsia="仿宋"/>
          <w:bCs/>
          <w:color w:val="000000"/>
          <w:szCs w:val="21"/>
        </w:rPr>
      </w:pPr>
    </w:p>
    <w:p w14:paraId="20F3D0F5">
      <w:pPr>
        <w:tabs>
          <w:tab w:val="left" w:pos="420"/>
        </w:tabs>
        <w:spacing w:line="276" w:lineRule="auto"/>
        <w:rPr>
          <w:rFonts w:ascii="仿宋" w:hAnsi="仿宋" w:eastAsia="仿宋"/>
          <w:bCs/>
          <w:color w:val="000000"/>
          <w:szCs w:val="21"/>
        </w:rPr>
      </w:pPr>
    </w:p>
    <w:p w14:paraId="63488148">
      <w:pPr>
        <w:tabs>
          <w:tab w:val="left" w:pos="420"/>
        </w:tabs>
        <w:spacing w:line="276" w:lineRule="auto"/>
        <w:rPr>
          <w:rFonts w:ascii="仿宋" w:hAnsi="仿宋" w:eastAsia="仿宋"/>
          <w:bCs/>
          <w:color w:val="000000"/>
          <w:szCs w:val="21"/>
        </w:rPr>
      </w:pPr>
    </w:p>
    <w:p w14:paraId="33CB92C5">
      <w:pPr>
        <w:tabs>
          <w:tab w:val="left" w:pos="420"/>
        </w:tabs>
        <w:spacing w:line="276" w:lineRule="auto"/>
        <w:rPr>
          <w:rFonts w:ascii="仿宋" w:hAnsi="仿宋" w:eastAsia="仿宋"/>
          <w:bCs/>
          <w:color w:val="000000"/>
          <w:szCs w:val="21"/>
        </w:rPr>
      </w:pPr>
    </w:p>
    <w:p w14:paraId="2471AC87">
      <w:pPr>
        <w:tabs>
          <w:tab w:val="left" w:pos="420"/>
        </w:tabs>
        <w:spacing w:line="276" w:lineRule="auto"/>
        <w:rPr>
          <w:rFonts w:ascii="仿宋" w:hAnsi="仿宋" w:eastAsia="仿宋"/>
          <w:bCs/>
          <w:color w:val="000000"/>
          <w:szCs w:val="21"/>
        </w:rPr>
      </w:pPr>
    </w:p>
    <w:p w14:paraId="3A44D859">
      <w:pPr>
        <w:tabs>
          <w:tab w:val="left" w:pos="420"/>
        </w:tabs>
        <w:spacing w:line="276" w:lineRule="auto"/>
        <w:rPr>
          <w:rFonts w:ascii="仿宋" w:hAnsi="仿宋" w:eastAsia="仿宋"/>
          <w:bCs/>
          <w:color w:val="000000"/>
          <w:szCs w:val="21"/>
        </w:rPr>
      </w:pPr>
    </w:p>
    <w:p w14:paraId="0EC7197E">
      <w:pPr>
        <w:tabs>
          <w:tab w:val="left" w:pos="420"/>
        </w:tabs>
        <w:spacing w:line="276" w:lineRule="auto"/>
        <w:rPr>
          <w:rFonts w:ascii="仿宋" w:hAnsi="仿宋" w:eastAsia="仿宋"/>
          <w:bCs/>
          <w:color w:val="000000"/>
          <w:szCs w:val="21"/>
        </w:rPr>
      </w:pPr>
    </w:p>
    <w:p w14:paraId="64E825BF">
      <w:pPr>
        <w:tabs>
          <w:tab w:val="left" w:pos="420"/>
        </w:tabs>
        <w:spacing w:line="276" w:lineRule="auto"/>
        <w:rPr>
          <w:rFonts w:ascii="仿宋" w:hAnsi="仿宋" w:eastAsia="仿宋"/>
          <w:bCs/>
          <w:color w:val="000000"/>
          <w:szCs w:val="21"/>
        </w:rPr>
      </w:pPr>
    </w:p>
    <w:p w14:paraId="5DAC16F6">
      <w:pPr>
        <w:tabs>
          <w:tab w:val="left" w:pos="420"/>
        </w:tabs>
        <w:spacing w:line="276" w:lineRule="auto"/>
        <w:rPr>
          <w:rFonts w:ascii="仿宋" w:hAnsi="仿宋" w:eastAsia="仿宋"/>
          <w:bCs/>
          <w:color w:val="000000"/>
          <w:szCs w:val="21"/>
        </w:rPr>
      </w:pPr>
    </w:p>
    <w:p w14:paraId="5F700683">
      <w:pPr>
        <w:tabs>
          <w:tab w:val="left" w:pos="420"/>
        </w:tabs>
        <w:spacing w:line="276" w:lineRule="auto"/>
        <w:rPr>
          <w:rFonts w:ascii="仿宋" w:hAnsi="仿宋" w:eastAsia="仿宋"/>
          <w:bCs/>
          <w:color w:val="000000"/>
          <w:szCs w:val="21"/>
        </w:rPr>
      </w:pPr>
    </w:p>
    <w:p w14:paraId="6657E994">
      <w:pPr>
        <w:tabs>
          <w:tab w:val="left" w:pos="420"/>
        </w:tabs>
        <w:spacing w:line="276" w:lineRule="auto"/>
        <w:rPr>
          <w:rFonts w:ascii="仿宋" w:hAnsi="仿宋" w:eastAsia="仿宋"/>
          <w:bCs/>
          <w:color w:val="000000"/>
          <w:szCs w:val="21"/>
        </w:rPr>
      </w:pPr>
    </w:p>
    <w:p w14:paraId="45A468F1">
      <w:pPr>
        <w:tabs>
          <w:tab w:val="left" w:pos="420"/>
        </w:tabs>
        <w:spacing w:line="276" w:lineRule="auto"/>
        <w:rPr>
          <w:rFonts w:ascii="仿宋" w:hAnsi="仿宋" w:eastAsia="仿宋"/>
          <w:bCs/>
          <w:color w:val="000000"/>
          <w:szCs w:val="21"/>
        </w:rPr>
      </w:pPr>
    </w:p>
    <w:p w14:paraId="689DE34A">
      <w:pPr>
        <w:tabs>
          <w:tab w:val="left" w:pos="420"/>
        </w:tabs>
        <w:spacing w:line="276" w:lineRule="auto"/>
        <w:rPr>
          <w:rFonts w:ascii="仿宋" w:hAnsi="仿宋" w:eastAsia="仿宋"/>
          <w:bCs/>
          <w:color w:val="000000"/>
          <w:szCs w:val="21"/>
        </w:rPr>
      </w:pPr>
    </w:p>
    <w:p w14:paraId="157E4E0D">
      <w:pPr>
        <w:tabs>
          <w:tab w:val="left" w:pos="420"/>
        </w:tabs>
        <w:spacing w:line="276" w:lineRule="auto"/>
        <w:rPr>
          <w:rFonts w:ascii="仿宋" w:hAnsi="仿宋" w:eastAsia="仿宋"/>
          <w:bCs/>
          <w:color w:val="000000"/>
          <w:szCs w:val="21"/>
        </w:rPr>
      </w:pPr>
    </w:p>
    <w:p w14:paraId="6D3C48AA">
      <w:pPr>
        <w:tabs>
          <w:tab w:val="left" w:pos="420"/>
        </w:tabs>
        <w:spacing w:line="276" w:lineRule="auto"/>
        <w:rPr>
          <w:rFonts w:ascii="仿宋" w:hAnsi="仿宋" w:eastAsia="仿宋"/>
          <w:bCs/>
          <w:color w:val="000000"/>
          <w:szCs w:val="21"/>
        </w:rPr>
      </w:pPr>
    </w:p>
    <w:p w14:paraId="27EF5689">
      <w:pPr>
        <w:tabs>
          <w:tab w:val="left" w:pos="420"/>
        </w:tabs>
        <w:spacing w:line="276" w:lineRule="auto"/>
        <w:rPr>
          <w:rFonts w:ascii="仿宋" w:hAnsi="仿宋" w:eastAsia="仿宋"/>
          <w:bCs/>
          <w:color w:val="000000"/>
          <w:szCs w:val="21"/>
        </w:rPr>
      </w:pPr>
    </w:p>
    <w:p w14:paraId="1EA63CCA">
      <w:pPr>
        <w:tabs>
          <w:tab w:val="left" w:pos="420"/>
        </w:tabs>
        <w:spacing w:line="276" w:lineRule="auto"/>
        <w:rPr>
          <w:rFonts w:ascii="仿宋" w:hAnsi="仿宋" w:eastAsia="仿宋"/>
          <w:bCs/>
          <w:color w:val="000000"/>
          <w:szCs w:val="21"/>
        </w:rPr>
      </w:pPr>
    </w:p>
    <w:p w14:paraId="6DBDABCD">
      <w:pPr>
        <w:tabs>
          <w:tab w:val="left" w:pos="420"/>
        </w:tabs>
        <w:spacing w:line="276" w:lineRule="auto"/>
        <w:rPr>
          <w:rFonts w:ascii="仿宋" w:hAnsi="仿宋" w:eastAsia="仿宋"/>
          <w:bCs/>
          <w:color w:val="000000"/>
          <w:szCs w:val="21"/>
        </w:rPr>
      </w:pPr>
    </w:p>
    <w:p w14:paraId="3B63921D">
      <w:pPr>
        <w:tabs>
          <w:tab w:val="left" w:pos="420"/>
        </w:tabs>
        <w:spacing w:line="276" w:lineRule="auto"/>
        <w:rPr>
          <w:rFonts w:ascii="仿宋" w:hAnsi="仿宋" w:eastAsia="仿宋"/>
          <w:bCs/>
          <w:color w:val="000000"/>
          <w:szCs w:val="21"/>
        </w:rPr>
      </w:pPr>
    </w:p>
    <w:p w14:paraId="0DC13771">
      <w:pPr>
        <w:tabs>
          <w:tab w:val="left" w:pos="420"/>
        </w:tabs>
        <w:spacing w:line="276" w:lineRule="auto"/>
        <w:rPr>
          <w:rFonts w:ascii="仿宋" w:hAnsi="仿宋" w:eastAsia="仿宋"/>
          <w:bCs/>
          <w:color w:val="000000"/>
          <w:szCs w:val="21"/>
        </w:rPr>
      </w:pPr>
    </w:p>
    <w:p w14:paraId="5645D575">
      <w:pPr>
        <w:tabs>
          <w:tab w:val="left" w:pos="420"/>
        </w:tabs>
        <w:spacing w:line="276" w:lineRule="auto"/>
        <w:rPr>
          <w:rFonts w:ascii="仿宋" w:hAnsi="仿宋" w:eastAsia="仿宋"/>
          <w:bCs/>
          <w:color w:val="000000"/>
          <w:szCs w:val="21"/>
        </w:rPr>
      </w:pPr>
    </w:p>
    <w:p w14:paraId="2C7767A5">
      <w:pPr>
        <w:tabs>
          <w:tab w:val="left" w:pos="420"/>
        </w:tabs>
        <w:spacing w:line="276" w:lineRule="auto"/>
        <w:rPr>
          <w:rFonts w:ascii="仿宋" w:hAnsi="仿宋" w:eastAsia="仿宋"/>
          <w:bCs/>
          <w:color w:val="000000"/>
          <w:szCs w:val="21"/>
        </w:rPr>
      </w:pPr>
    </w:p>
    <w:p w14:paraId="724374CC">
      <w:pPr>
        <w:tabs>
          <w:tab w:val="left" w:pos="420"/>
        </w:tabs>
        <w:spacing w:line="276" w:lineRule="auto"/>
        <w:rPr>
          <w:rFonts w:ascii="仿宋" w:hAnsi="仿宋" w:eastAsia="仿宋"/>
          <w:bCs/>
          <w:color w:val="000000"/>
          <w:szCs w:val="21"/>
        </w:rPr>
      </w:pPr>
    </w:p>
    <w:p w14:paraId="7D111C66">
      <w:pPr>
        <w:tabs>
          <w:tab w:val="left" w:pos="420"/>
        </w:tabs>
        <w:spacing w:line="276" w:lineRule="auto"/>
        <w:rPr>
          <w:rFonts w:ascii="仿宋" w:hAnsi="仿宋" w:eastAsia="仿宋"/>
          <w:bCs/>
          <w:color w:val="000000"/>
          <w:szCs w:val="21"/>
        </w:rPr>
      </w:pPr>
    </w:p>
    <w:p w14:paraId="5D966A95">
      <w:pPr>
        <w:tabs>
          <w:tab w:val="left" w:pos="420"/>
        </w:tabs>
        <w:spacing w:line="276" w:lineRule="auto"/>
        <w:rPr>
          <w:rFonts w:ascii="仿宋" w:hAnsi="仿宋" w:eastAsia="仿宋"/>
          <w:bCs/>
          <w:color w:val="000000"/>
          <w:szCs w:val="21"/>
        </w:rPr>
      </w:pPr>
    </w:p>
    <w:p w14:paraId="5188FAA6">
      <w:pPr>
        <w:tabs>
          <w:tab w:val="left" w:pos="420"/>
        </w:tabs>
        <w:spacing w:line="276" w:lineRule="auto"/>
        <w:rPr>
          <w:rFonts w:ascii="仿宋" w:hAnsi="仿宋" w:eastAsia="仿宋"/>
          <w:bCs/>
          <w:color w:val="000000"/>
          <w:szCs w:val="21"/>
        </w:rPr>
      </w:pPr>
    </w:p>
    <w:p w14:paraId="3AC68D08">
      <w:pPr>
        <w:tabs>
          <w:tab w:val="left" w:pos="420"/>
        </w:tabs>
        <w:spacing w:line="276" w:lineRule="auto"/>
        <w:rPr>
          <w:rFonts w:ascii="仿宋" w:hAnsi="仿宋" w:eastAsia="仿宋"/>
          <w:bCs/>
          <w:color w:val="000000"/>
          <w:szCs w:val="21"/>
        </w:rPr>
      </w:pPr>
    </w:p>
    <w:p w14:paraId="7157A118">
      <w:pPr>
        <w:tabs>
          <w:tab w:val="left" w:pos="420"/>
        </w:tabs>
        <w:spacing w:line="276" w:lineRule="auto"/>
        <w:rPr>
          <w:rFonts w:ascii="仿宋" w:hAnsi="仿宋" w:eastAsia="仿宋"/>
          <w:bCs/>
          <w:color w:val="000000"/>
          <w:szCs w:val="21"/>
        </w:rPr>
      </w:pPr>
    </w:p>
    <w:p w14:paraId="34245F7C">
      <w:pPr>
        <w:tabs>
          <w:tab w:val="left" w:pos="420"/>
        </w:tabs>
        <w:spacing w:line="276" w:lineRule="auto"/>
        <w:rPr>
          <w:rFonts w:ascii="仿宋" w:hAnsi="仿宋" w:eastAsia="仿宋"/>
          <w:bCs/>
          <w:color w:val="000000"/>
          <w:szCs w:val="21"/>
        </w:rPr>
      </w:pPr>
    </w:p>
    <w:p w14:paraId="49801B94">
      <w:pPr>
        <w:tabs>
          <w:tab w:val="left" w:pos="420"/>
        </w:tabs>
        <w:spacing w:line="276" w:lineRule="auto"/>
        <w:rPr>
          <w:rFonts w:ascii="仿宋" w:hAnsi="仿宋" w:eastAsia="仿宋"/>
          <w:bCs/>
          <w:color w:val="000000"/>
          <w:szCs w:val="21"/>
        </w:rPr>
      </w:pPr>
    </w:p>
    <w:p w14:paraId="1A1AF696">
      <w:pPr>
        <w:tabs>
          <w:tab w:val="left" w:pos="420"/>
        </w:tabs>
        <w:spacing w:line="276" w:lineRule="auto"/>
        <w:rPr>
          <w:rFonts w:ascii="仿宋" w:hAnsi="仿宋" w:eastAsia="仿宋"/>
          <w:bCs/>
          <w:color w:val="000000"/>
          <w:szCs w:val="21"/>
        </w:rPr>
      </w:pPr>
    </w:p>
    <w:p w14:paraId="1FB8830B">
      <w:pPr>
        <w:tabs>
          <w:tab w:val="left" w:pos="420"/>
        </w:tabs>
        <w:spacing w:line="276" w:lineRule="auto"/>
        <w:rPr>
          <w:rFonts w:ascii="仿宋" w:hAnsi="仿宋" w:eastAsia="仿宋"/>
          <w:bCs/>
          <w:color w:val="000000"/>
          <w:szCs w:val="21"/>
        </w:rPr>
      </w:pPr>
    </w:p>
    <w:p w14:paraId="7317AA77">
      <w:pPr>
        <w:tabs>
          <w:tab w:val="left" w:pos="420"/>
        </w:tabs>
        <w:spacing w:line="276" w:lineRule="auto"/>
        <w:rPr>
          <w:rFonts w:ascii="仿宋" w:hAnsi="仿宋" w:eastAsia="仿宋"/>
          <w:bCs/>
          <w:color w:val="000000"/>
          <w:szCs w:val="21"/>
        </w:rPr>
      </w:pPr>
    </w:p>
    <w:p w14:paraId="7E7E5EE0">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附件二：中山大学肿瘤防治中心膳食供应商月度考核表</w:t>
      </w:r>
    </w:p>
    <w:p w14:paraId="3429F87F">
      <w:pPr>
        <w:tabs>
          <w:tab w:val="left" w:pos="420"/>
        </w:tabs>
        <w:spacing w:line="276" w:lineRule="auto"/>
        <w:rPr>
          <w:rFonts w:hint="eastAsia" w:ascii="仿宋" w:hAnsi="仿宋" w:eastAsia="仿宋"/>
          <w:b/>
          <w:color w:val="000000"/>
          <w:szCs w:val="21"/>
        </w:rPr>
      </w:pPr>
    </w:p>
    <w:p w14:paraId="7259BB64">
      <w:pPr>
        <w:rPr>
          <w:rFonts w:ascii="仿宋" w:hAnsi="仿宋" w:eastAsia="仿宋" w:cs="宋体"/>
          <w:bCs/>
          <w:color w:val="000000"/>
          <w:szCs w:val="21"/>
        </w:rPr>
      </w:pPr>
      <w:r>
        <w:rPr>
          <w:rFonts w:hint="eastAsia" w:ascii="仿宋" w:hAnsi="仿宋" w:eastAsia="仿宋" w:cs="宋体"/>
          <w:bCs/>
          <w:color w:val="000000"/>
          <w:szCs w:val="21"/>
        </w:rPr>
        <w:t>项目名称：202</w:t>
      </w:r>
      <w:r>
        <w:rPr>
          <w:rFonts w:ascii="仿宋" w:hAnsi="仿宋" w:eastAsia="仿宋" w:cs="宋体"/>
          <w:bCs/>
          <w:color w:val="000000"/>
          <w:szCs w:val="21"/>
        </w:rPr>
        <w:t>5</w:t>
      </w:r>
      <w:r>
        <w:rPr>
          <w:rFonts w:hint="eastAsia" w:ascii="仿宋" w:hAnsi="仿宋" w:eastAsia="仿宋" w:cs="宋体"/>
          <w:bCs/>
          <w:color w:val="000000"/>
          <w:szCs w:val="21"/>
        </w:rPr>
        <w:t>年膳食物资（餐饮耗材类）采购项目</w:t>
      </w:r>
    </w:p>
    <w:p w14:paraId="7776D712">
      <w:pPr>
        <w:rPr>
          <w:rFonts w:ascii="仿宋" w:hAnsi="仿宋" w:eastAsia="仿宋" w:cs="宋体"/>
          <w:bCs/>
          <w:color w:val="000000"/>
          <w:szCs w:val="21"/>
        </w:rPr>
      </w:pPr>
      <w:r>
        <w:rPr>
          <w:rFonts w:hint="eastAsia" w:ascii="仿宋" w:hAnsi="仿宋" w:eastAsia="仿宋" w:cs="宋体"/>
          <w:bCs/>
          <w:color w:val="000000"/>
          <w:szCs w:val="21"/>
        </w:rPr>
        <w:t>供应商名称：</w:t>
      </w:r>
    </w:p>
    <w:tbl>
      <w:tblPr>
        <w:tblStyle w:val="7"/>
        <w:tblW w:w="9756"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813"/>
        <w:gridCol w:w="2551"/>
        <w:gridCol w:w="684"/>
      </w:tblGrid>
      <w:tr w14:paraId="5987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21" w:type="dxa"/>
            <w:gridSpan w:val="2"/>
            <w:tcBorders>
              <w:top w:val="single" w:color="auto" w:sz="4" w:space="0"/>
              <w:left w:val="single" w:color="auto" w:sz="4" w:space="0"/>
              <w:bottom w:val="single" w:color="auto" w:sz="4" w:space="0"/>
              <w:right w:val="single" w:color="auto" w:sz="4" w:space="0"/>
            </w:tcBorders>
            <w:vAlign w:val="center"/>
          </w:tcPr>
          <w:p w14:paraId="2525D589">
            <w:pPr>
              <w:jc w:val="center"/>
              <w:rPr>
                <w:rFonts w:ascii="仿宋" w:hAnsi="仿宋" w:eastAsia="仿宋" w:cs="宋体"/>
                <w:b/>
                <w:color w:val="000000"/>
                <w:szCs w:val="21"/>
                <w:lang w:bidi="ar"/>
              </w:rPr>
            </w:pPr>
            <w:bookmarkStart w:id="19" w:name="OLE_LINK51"/>
            <w:bookmarkStart w:id="20" w:name="OLE_LINK50"/>
            <w:r>
              <w:rPr>
                <w:rFonts w:hint="eastAsia" w:ascii="仿宋" w:hAnsi="仿宋" w:eastAsia="仿宋" w:cs="宋体"/>
                <w:b/>
                <w:color w:val="000000"/>
                <w:szCs w:val="21"/>
                <w:lang w:bidi="ar"/>
              </w:rPr>
              <w:t>考核内容</w:t>
            </w:r>
          </w:p>
        </w:tc>
        <w:tc>
          <w:tcPr>
            <w:tcW w:w="2551" w:type="dxa"/>
            <w:tcBorders>
              <w:top w:val="single" w:color="auto" w:sz="4" w:space="0"/>
              <w:left w:val="single" w:color="auto" w:sz="4" w:space="0"/>
              <w:bottom w:val="single" w:color="auto" w:sz="4" w:space="0"/>
              <w:right w:val="single" w:color="auto" w:sz="4" w:space="0"/>
            </w:tcBorders>
            <w:vAlign w:val="center"/>
          </w:tcPr>
          <w:p w14:paraId="377DB652">
            <w:pPr>
              <w:jc w:val="center"/>
              <w:rPr>
                <w:rFonts w:ascii="仿宋" w:hAnsi="仿宋" w:eastAsia="仿宋" w:cs="宋体"/>
                <w:b/>
                <w:color w:val="000000"/>
                <w:szCs w:val="21"/>
                <w:lang w:bidi="ar"/>
              </w:rPr>
            </w:pPr>
            <w:r>
              <w:rPr>
                <w:rFonts w:hint="eastAsia" w:ascii="仿宋" w:hAnsi="仿宋" w:eastAsia="仿宋" w:cs="宋体"/>
                <w:b/>
                <w:color w:val="000000"/>
                <w:szCs w:val="21"/>
                <w:lang w:bidi="ar"/>
              </w:rPr>
              <w:t>分值（扣分项目上不封顶）</w:t>
            </w:r>
          </w:p>
        </w:tc>
        <w:tc>
          <w:tcPr>
            <w:tcW w:w="684" w:type="dxa"/>
            <w:tcBorders>
              <w:top w:val="single" w:color="auto" w:sz="4" w:space="0"/>
              <w:left w:val="single" w:color="auto" w:sz="4" w:space="0"/>
              <w:bottom w:val="single" w:color="auto" w:sz="4" w:space="0"/>
              <w:right w:val="single" w:color="auto" w:sz="4" w:space="0"/>
            </w:tcBorders>
            <w:vAlign w:val="center"/>
          </w:tcPr>
          <w:p w14:paraId="6CC8418D">
            <w:pPr>
              <w:jc w:val="center"/>
              <w:rPr>
                <w:rFonts w:ascii="仿宋" w:hAnsi="仿宋" w:eastAsia="仿宋" w:cs="宋体"/>
                <w:b/>
                <w:color w:val="000000"/>
                <w:szCs w:val="21"/>
                <w:lang w:bidi="ar"/>
              </w:rPr>
            </w:pPr>
            <w:r>
              <w:rPr>
                <w:rFonts w:hint="eastAsia" w:ascii="仿宋" w:hAnsi="仿宋" w:eastAsia="仿宋" w:cs="宋体"/>
                <w:b/>
                <w:color w:val="000000"/>
                <w:szCs w:val="21"/>
                <w:lang w:bidi="ar"/>
              </w:rPr>
              <w:t>扣分</w:t>
            </w:r>
          </w:p>
        </w:tc>
      </w:tr>
      <w:tr w14:paraId="2021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708" w:type="dxa"/>
            <w:vMerge w:val="restart"/>
            <w:tcBorders>
              <w:top w:val="single" w:color="auto" w:sz="4" w:space="0"/>
              <w:left w:val="single" w:color="auto" w:sz="4" w:space="0"/>
              <w:right w:val="single" w:color="auto" w:sz="4" w:space="0"/>
            </w:tcBorders>
            <w:vAlign w:val="center"/>
          </w:tcPr>
          <w:p w14:paraId="455C8778">
            <w:pPr>
              <w:jc w:val="left"/>
              <w:rPr>
                <w:rFonts w:ascii="仿宋" w:hAnsi="仿宋" w:eastAsia="仿宋" w:cs="宋体"/>
                <w:color w:val="000000"/>
                <w:szCs w:val="21"/>
              </w:rPr>
            </w:pPr>
            <w:r>
              <w:rPr>
                <w:rFonts w:hint="eastAsia" w:ascii="仿宋" w:hAnsi="仿宋" w:eastAsia="仿宋" w:cs="宋体"/>
                <w:color w:val="000000"/>
                <w:szCs w:val="21"/>
              </w:rPr>
              <w:t>服务要求</w:t>
            </w:r>
          </w:p>
        </w:tc>
        <w:tc>
          <w:tcPr>
            <w:tcW w:w="5813" w:type="dxa"/>
            <w:tcBorders>
              <w:top w:val="single" w:color="auto" w:sz="4" w:space="0"/>
              <w:left w:val="single" w:color="auto" w:sz="4" w:space="0"/>
              <w:bottom w:val="single" w:color="auto" w:sz="4" w:space="0"/>
              <w:right w:val="single" w:color="auto" w:sz="4" w:space="0"/>
            </w:tcBorders>
          </w:tcPr>
          <w:p w14:paraId="09C5DB6B">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1.中标人按采购人规定的配送时间（由采购人通知）将订单货物送达收货地点。</w:t>
            </w:r>
          </w:p>
          <w:p w14:paraId="067F3CAA">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若因中标人无法按时送达（不可抗力除外），采购人有权自行采购（中标人需要实报实销发生的相关费用），影响采购人供餐的（如造成采购人供餐延迟、无法开餐、供餐品种临时改变等情况），按考核表扣分，所发生经济损失由中标人负责。</w:t>
            </w:r>
          </w:p>
          <w:p w14:paraId="5A47005A">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合同期内累计达到3次影响采购人供餐的，采购人有权终止合同，所发生经济损失由中标人负责。</w:t>
            </w:r>
          </w:p>
          <w:p w14:paraId="70E5582E">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2.</w:t>
            </w:r>
            <w:r>
              <w:rPr>
                <w:rFonts w:hint="eastAsia" w:ascii="仿宋" w:hAnsi="仿宋" w:eastAsia="仿宋" w:cs="宋体"/>
                <w:color w:val="000000"/>
                <w:szCs w:val="21"/>
              </w:rPr>
              <w:tab/>
            </w:r>
            <w:r>
              <w:rPr>
                <w:rFonts w:hint="eastAsia" w:ascii="仿宋" w:hAnsi="仿宋" w:eastAsia="仿宋" w:cs="宋体"/>
                <w:color w:val="000000"/>
                <w:szCs w:val="21"/>
              </w:rPr>
              <w:t>对采购人临时的供货要求（每个院区每月原则上不超过8次），中标人需随订随送，并在4小时内（不含）送达收货地点。原则上不允许临时采购未定价的产品，如供应商未经采购人的膳食管理岗同意仍供货，采购人有权不支付该批次产品货款。</w:t>
            </w:r>
          </w:p>
        </w:tc>
        <w:tc>
          <w:tcPr>
            <w:tcW w:w="2551" w:type="dxa"/>
            <w:tcBorders>
              <w:top w:val="single" w:color="auto" w:sz="4" w:space="0"/>
              <w:left w:val="single" w:color="auto" w:sz="4" w:space="0"/>
              <w:bottom w:val="single" w:color="auto" w:sz="4" w:space="0"/>
              <w:right w:val="single" w:color="auto" w:sz="4" w:space="0"/>
            </w:tcBorders>
            <w:vAlign w:val="center"/>
          </w:tcPr>
          <w:p w14:paraId="2974D499">
            <w:pPr>
              <w:ind w:firstLine="420" w:firstLineChars="200"/>
              <w:rPr>
                <w:rFonts w:ascii="仿宋" w:hAnsi="仿宋" w:eastAsia="仿宋" w:cs="宋体"/>
                <w:color w:val="000000"/>
                <w:szCs w:val="21"/>
              </w:rPr>
            </w:pPr>
            <w:r>
              <w:rPr>
                <w:rFonts w:hint="eastAsia" w:ascii="仿宋" w:hAnsi="仿宋" w:eastAsia="仿宋" w:cs="宋体"/>
                <w:color w:val="000000"/>
                <w:szCs w:val="21"/>
                <w:lang w:bidi="ar"/>
              </w:rPr>
              <w:t>不准时但能与采购人及时沟通的（含临时供货4小时内送货及退换货2小时内补送），无影响采购人工作的，每发生一次扣3分；</w:t>
            </w:r>
          </w:p>
          <w:p w14:paraId="020CBD0A">
            <w:pPr>
              <w:ind w:firstLine="420" w:firstLineChars="200"/>
              <w:rPr>
                <w:rFonts w:ascii="仿宋" w:hAnsi="仿宋" w:eastAsia="仿宋" w:cs="宋体"/>
                <w:color w:val="000000"/>
                <w:szCs w:val="21"/>
                <w:lang w:bidi="ar"/>
              </w:rPr>
            </w:pPr>
            <w:r>
              <w:rPr>
                <w:rFonts w:hint="eastAsia" w:ascii="仿宋" w:hAnsi="仿宋" w:eastAsia="仿宋" w:cs="宋体"/>
                <w:color w:val="000000"/>
                <w:szCs w:val="21"/>
                <w:lang w:bidi="ar"/>
              </w:rPr>
              <w:t>不准时送达且不沟通或沟通不及时的，每发生一次扣5分。</w:t>
            </w:r>
          </w:p>
          <w:p w14:paraId="3DBCD8BD">
            <w:pPr>
              <w:ind w:firstLine="420" w:firstLineChars="200"/>
              <w:rPr>
                <w:rFonts w:ascii="仿宋" w:hAnsi="仿宋" w:eastAsia="仿宋" w:cs="宋体"/>
                <w:color w:val="000000"/>
                <w:szCs w:val="21"/>
                <w:lang w:bidi="ar"/>
              </w:rPr>
            </w:pPr>
            <w:r>
              <w:rPr>
                <w:rFonts w:hint="eastAsia" w:ascii="仿宋" w:hAnsi="仿宋" w:eastAsia="仿宋" w:cs="宋体"/>
                <w:color w:val="000000"/>
                <w:szCs w:val="21"/>
                <w:lang w:bidi="ar"/>
              </w:rPr>
              <w:t>无法按时送达（不可抗力除外），影响采购人工作的（如造成甲方该产品对应菜品无法按时出餐、供餐菜品临时改变、无法供餐等情况），每次扣10分。</w:t>
            </w:r>
          </w:p>
        </w:tc>
        <w:tc>
          <w:tcPr>
            <w:tcW w:w="684" w:type="dxa"/>
            <w:tcBorders>
              <w:top w:val="single" w:color="auto" w:sz="4" w:space="0"/>
              <w:left w:val="single" w:color="auto" w:sz="4" w:space="0"/>
              <w:bottom w:val="single" w:color="auto" w:sz="4" w:space="0"/>
              <w:right w:val="single" w:color="auto" w:sz="4" w:space="0"/>
            </w:tcBorders>
            <w:vAlign w:val="center"/>
          </w:tcPr>
          <w:p w14:paraId="10D395AB">
            <w:pPr>
              <w:jc w:val="left"/>
              <w:rPr>
                <w:rFonts w:ascii="仿宋" w:hAnsi="仿宋" w:eastAsia="仿宋" w:cs="宋体"/>
                <w:color w:val="000000"/>
                <w:szCs w:val="21"/>
              </w:rPr>
            </w:pPr>
          </w:p>
        </w:tc>
      </w:tr>
      <w:tr w14:paraId="56D2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40EFC752">
            <w:pPr>
              <w:jc w:val="left"/>
              <w:rPr>
                <w:rFonts w:ascii="仿宋" w:hAnsi="仿宋" w:eastAsia="仿宋" w:cs="宋体"/>
                <w:color w:val="000000"/>
                <w:szCs w:val="21"/>
              </w:rPr>
            </w:pPr>
          </w:p>
        </w:tc>
        <w:tc>
          <w:tcPr>
            <w:tcW w:w="5813" w:type="dxa"/>
            <w:tcBorders>
              <w:top w:val="single" w:color="auto" w:sz="4" w:space="0"/>
              <w:left w:val="single" w:color="auto" w:sz="4" w:space="0"/>
              <w:bottom w:val="single" w:color="auto" w:sz="4" w:space="0"/>
              <w:right w:val="single" w:color="auto" w:sz="4" w:space="0"/>
            </w:tcBorders>
          </w:tcPr>
          <w:p w14:paraId="49BE6663">
            <w:pPr>
              <w:ind w:firstLine="420" w:firstLineChars="200"/>
              <w:jc w:val="left"/>
              <w:rPr>
                <w:rFonts w:ascii="仿宋" w:hAnsi="仿宋" w:eastAsia="仿宋" w:cs="宋体"/>
                <w:color w:val="000000"/>
                <w:szCs w:val="21"/>
                <w:lang w:bidi="ar"/>
              </w:rPr>
            </w:pPr>
            <w:r>
              <w:rPr>
                <w:rFonts w:hint="eastAsia" w:ascii="仿宋" w:hAnsi="仿宋" w:eastAsia="仿宋" w:cs="宋体"/>
                <w:color w:val="000000"/>
                <w:szCs w:val="21"/>
                <w:lang w:bidi="ar"/>
              </w:rPr>
              <w:t>3.中标人须保障产品数量及质量，如发现品短斤缺两，或品种、品牌（如有）、规格型号、价格、质量等未达到合同要求的，采购人拒收，并责令其在2小时（不含）内重新送货，所发生费用由中标人负责。</w:t>
            </w:r>
          </w:p>
        </w:tc>
        <w:tc>
          <w:tcPr>
            <w:tcW w:w="2551" w:type="dxa"/>
            <w:tcBorders>
              <w:top w:val="single" w:color="auto" w:sz="4" w:space="0"/>
              <w:left w:val="single" w:color="auto" w:sz="4" w:space="0"/>
              <w:bottom w:val="single" w:color="auto" w:sz="4" w:space="0"/>
              <w:right w:val="single" w:color="auto" w:sz="4" w:space="0"/>
            </w:tcBorders>
            <w:vAlign w:val="center"/>
          </w:tcPr>
          <w:p w14:paraId="286AB663">
            <w:pPr>
              <w:ind w:firstLine="420" w:firstLineChars="200"/>
              <w:rPr>
                <w:rFonts w:ascii="仿宋" w:hAnsi="仿宋" w:eastAsia="仿宋" w:cs="宋体"/>
                <w:color w:val="000000"/>
                <w:szCs w:val="21"/>
              </w:rPr>
            </w:pPr>
            <w:r>
              <w:rPr>
                <w:rFonts w:hint="eastAsia" w:ascii="仿宋" w:hAnsi="仿宋" w:eastAsia="仿宋" w:cs="宋体"/>
                <w:color w:val="000000"/>
                <w:szCs w:val="21"/>
              </w:rPr>
              <w:t>产品短斤缺两，或品种、品牌（如有）、规格型号、价格等不符合要求，每发生一次扣10分。</w:t>
            </w:r>
          </w:p>
          <w:p w14:paraId="20E3C650">
            <w:pPr>
              <w:ind w:firstLine="420" w:firstLineChars="200"/>
              <w:rPr>
                <w:rFonts w:ascii="仿宋" w:hAnsi="仿宋" w:eastAsia="仿宋" w:cs="宋体"/>
                <w:color w:val="000000"/>
                <w:szCs w:val="21"/>
              </w:rPr>
            </w:pPr>
            <w:r>
              <w:rPr>
                <w:rFonts w:hint="eastAsia" w:ascii="仿宋" w:hAnsi="仿宋" w:eastAsia="仿宋" w:cs="宋体"/>
                <w:color w:val="000000"/>
                <w:szCs w:val="21"/>
              </w:rPr>
              <w:t>质量等未达到合同要求的（包括但不限于“四、食品安全及产品质量要求”中“9.产品具体要求”），每发生一次扣5分。</w:t>
            </w:r>
          </w:p>
        </w:tc>
        <w:tc>
          <w:tcPr>
            <w:tcW w:w="684" w:type="dxa"/>
            <w:tcBorders>
              <w:top w:val="single" w:color="auto" w:sz="4" w:space="0"/>
              <w:left w:val="single" w:color="auto" w:sz="4" w:space="0"/>
              <w:bottom w:val="single" w:color="auto" w:sz="4" w:space="0"/>
              <w:right w:val="single" w:color="auto" w:sz="4" w:space="0"/>
            </w:tcBorders>
            <w:vAlign w:val="center"/>
          </w:tcPr>
          <w:p w14:paraId="5D3BB670">
            <w:pPr>
              <w:jc w:val="left"/>
              <w:rPr>
                <w:rFonts w:ascii="仿宋" w:hAnsi="仿宋" w:eastAsia="仿宋" w:cs="宋体"/>
                <w:color w:val="000000"/>
                <w:szCs w:val="21"/>
              </w:rPr>
            </w:pPr>
          </w:p>
        </w:tc>
      </w:tr>
      <w:tr w14:paraId="5A4C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7263DC58">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7C0914F9">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4.中标人提供的产品若存在“假冒伪劣”或严重质量问题（如：变质、发霉、有异味等现象），采购人将拒收，中标人必须在2小时（不含）内重新送货。</w:t>
            </w:r>
          </w:p>
        </w:tc>
        <w:tc>
          <w:tcPr>
            <w:tcW w:w="2551" w:type="dxa"/>
            <w:tcBorders>
              <w:top w:val="single" w:color="auto" w:sz="4" w:space="0"/>
              <w:left w:val="single" w:color="auto" w:sz="4" w:space="0"/>
              <w:bottom w:val="single" w:color="auto" w:sz="4" w:space="0"/>
              <w:right w:val="single" w:color="auto" w:sz="4" w:space="0"/>
            </w:tcBorders>
            <w:vAlign w:val="center"/>
          </w:tcPr>
          <w:p w14:paraId="0376A227">
            <w:pPr>
              <w:ind w:firstLine="420" w:firstLineChars="200"/>
              <w:rPr>
                <w:rFonts w:ascii="仿宋" w:hAnsi="仿宋" w:eastAsia="仿宋" w:cs="宋体"/>
                <w:color w:val="000000"/>
                <w:szCs w:val="21"/>
              </w:rPr>
            </w:pPr>
            <w:r>
              <w:rPr>
                <w:rFonts w:hint="eastAsia" w:ascii="仿宋" w:hAnsi="仿宋" w:eastAsia="仿宋" w:cs="宋体"/>
                <w:color w:val="000000"/>
                <w:szCs w:val="21"/>
              </w:rPr>
              <w:t>“假冒伪劣”或严重质量问题，每发生一次扣20分。</w:t>
            </w:r>
          </w:p>
        </w:tc>
        <w:tc>
          <w:tcPr>
            <w:tcW w:w="684" w:type="dxa"/>
            <w:tcBorders>
              <w:top w:val="single" w:color="auto" w:sz="4" w:space="0"/>
              <w:left w:val="single" w:color="auto" w:sz="4" w:space="0"/>
              <w:bottom w:val="single" w:color="auto" w:sz="4" w:space="0"/>
              <w:right w:val="single" w:color="auto" w:sz="4" w:space="0"/>
            </w:tcBorders>
            <w:vAlign w:val="center"/>
          </w:tcPr>
          <w:p w14:paraId="793751DC">
            <w:pPr>
              <w:jc w:val="left"/>
              <w:rPr>
                <w:rFonts w:ascii="仿宋" w:hAnsi="仿宋" w:eastAsia="仿宋" w:cs="宋体"/>
                <w:color w:val="000000"/>
                <w:szCs w:val="21"/>
              </w:rPr>
            </w:pPr>
          </w:p>
        </w:tc>
      </w:tr>
      <w:tr w14:paraId="4BFB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3EDBF971">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17FD2A09">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5.中标人不得擅自变更投标产品的品种、品牌（如有）、包装、规格等，严格按采购人的要求供应，否则采购人拒收，由此所产生的费用由中标人负责。</w:t>
            </w:r>
          </w:p>
          <w:p w14:paraId="664267C5">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如因产品升级、停产、缺货无法供货等市场流通问题确实需要变更包装、规格的，中标人应事先提出书面申请（须附厂家官方网站公布或厂家、经销商说明函等资料），并经采购人同意后才能变更，新规格的产品价格≤投标产品价格÷投标产品规格×新规格。</w:t>
            </w:r>
          </w:p>
        </w:tc>
        <w:tc>
          <w:tcPr>
            <w:tcW w:w="2551" w:type="dxa"/>
            <w:tcBorders>
              <w:top w:val="single" w:color="auto" w:sz="4" w:space="0"/>
              <w:left w:val="single" w:color="auto" w:sz="4" w:space="0"/>
              <w:bottom w:val="single" w:color="auto" w:sz="4" w:space="0"/>
              <w:right w:val="single" w:color="auto" w:sz="4" w:space="0"/>
            </w:tcBorders>
            <w:vAlign w:val="center"/>
          </w:tcPr>
          <w:p w14:paraId="1C93DBDE">
            <w:pPr>
              <w:rPr>
                <w:rFonts w:ascii="仿宋" w:hAnsi="仿宋" w:eastAsia="仿宋" w:cs="宋体"/>
                <w:color w:val="000000"/>
                <w:szCs w:val="21"/>
              </w:rPr>
            </w:pPr>
            <w:r>
              <w:rPr>
                <w:rFonts w:hint="eastAsia" w:ascii="仿宋" w:hAnsi="仿宋" w:eastAsia="仿宋" w:cs="宋体"/>
                <w:color w:val="000000"/>
                <w:szCs w:val="21"/>
              </w:rPr>
              <w:t>不符合要求，每发生一次扣10分。</w:t>
            </w:r>
          </w:p>
        </w:tc>
        <w:tc>
          <w:tcPr>
            <w:tcW w:w="684" w:type="dxa"/>
            <w:tcBorders>
              <w:top w:val="single" w:color="auto" w:sz="4" w:space="0"/>
              <w:left w:val="single" w:color="auto" w:sz="4" w:space="0"/>
              <w:bottom w:val="single" w:color="auto" w:sz="4" w:space="0"/>
              <w:right w:val="single" w:color="auto" w:sz="4" w:space="0"/>
            </w:tcBorders>
            <w:vAlign w:val="center"/>
          </w:tcPr>
          <w:p w14:paraId="6F668B51">
            <w:pPr>
              <w:jc w:val="left"/>
              <w:rPr>
                <w:rFonts w:ascii="仿宋" w:hAnsi="仿宋" w:eastAsia="仿宋" w:cs="宋体"/>
                <w:color w:val="000000"/>
                <w:szCs w:val="21"/>
              </w:rPr>
            </w:pPr>
          </w:p>
        </w:tc>
      </w:tr>
      <w:tr w14:paraId="080B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0F5E6F07">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34D62A53">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6. 运输容器：要求清洁、干燥、牢固、透气、无污染、无异味等问题，每个品种单独盛装。根据产品的性质做好防湿、防锈、防潮、防雨、防腐及防碰撞的措施。散装产品应分类包装，防止交叉污染及环境污染。凡由于包装不良造成的损失和由此产生的费用均由中标人承担。</w:t>
            </w:r>
          </w:p>
        </w:tc>
        <w:tc>
          <w:tcPr>
            <w:tcW w:w="2551" w:type="dxa"/>
            <w:tcBorders>
              <w:top w:val="single" w:color="auto" w:sz="4" w:space="0"/>
              <w:left w:val="single" w:color="auto" w:sz="4" w:space="0"/>
              <w:bottom w:val="single" w:color="auto" w:sz="4" w:space="0"/>
              <w:right w:val="single" w:color="auto" w:sz="4" w:space="0"/>
            </w:tcBorders>
            <w:vAlign w:val="center"/>
          </w:tcPr>
          <w:p w14:paraId="17227045">
            <w:pPr>
              <w:rPr>
                <w:rFonts w:ascii="仿宋" w:hAnsi="仿宋" w:eastAsia="仿宋" w:cs="宋体"/>
                <w:color w:val="000000"/>
                <w:szCs w:val="21"/>
              </w:rPr>
            </w:pPr>
            <w:r>
              <w:rPr>
                <w:rFonts w:hint="eastAsia" w:ascii="仿宋" w:hAnsi="仿宋" w:eastAsia="仿宋" w:cs="宋体"/>
                <w:color w:val="000000"/>
                <w:szCs w:val="21"/>
              </w:rPr>
              <w:t>不符合要求，每发生一次扣5分。</w:t>
            </w:r>
          </w:p>
        </w:tc>
        <w:tc>
          <w:tcPr>
            <w:tcW w:w="684" w:type="dxa"/>
            <w:tcBorders>
              <w:top w:val="single" w:color="auto" w:sz="4" w:space="0"/>
              <w:left w:val="single" w:color="auto" w:sz="4" w:space="0"/>
              <w:bottom w:val="single" w:color="auto" w:sz="4" w:space="0"/>
              <w:right w:val="single" w:color="auto" w:sz="4" w:space="0"/>
            </w:tcBorders>
            <w:vAlign w:val="center"/>
          </w:tcPr>
          <w:p w14:paraId="1F39D0CC">
            <w:pPr>
              <w:jc w:val="left"/>
              <w:rPr>
                <w:rFonts w:ascii="仿宋" w:hAnsi="仿宋" w:eastAsia="仿宋" w:cs="宋体"/>
                <w:color w:val="000000"/>
                <w:szCs w:val="21"/>
              </w:rPr>
            </w:pPr>
          </w:p>
        </w:tc>
      </w:tr>
      <w:tr w14:paraId="1951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4D467C89">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2424848A">
            <w:pPr>
              <w:shd w:val="clear" w:color="auto" w:fill="FFFFFF"/>
              <w:snapToGrid w:val="0"/>
              <w:ind w:firstLine="420" w:firstLineChars="200"/>
              <w:jc w:val="left"/>
              <w:rPr>
                <w:rFonts w:ascii="仿宋" w:hAnsi="仿宋" w:eastAsia="仿宋" w:cs="宋体"/>
                <w:color w:val="000000"/>
                <w:szCs w:val="21"/>
              </w:rPr>
            </w:pPr>
            <w:r>
              <w:rPr>
                <w:rFonts w:hint="eastAsia" w:ascii="仿宋" w:hAnsi="仿宋" w:eastAsia="仿宋" w:cs="宋体"/>
                <w:color w:val="000000"/>
                <w:szCs w:val="21"/>
              </w:rPr>
              <w:t>7.运输载具：运输工具应清洁卫生无污染，产品运输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装车方式切实符合安全卫生要求。</w:t>
            </w:r>
          </w:p>
        </w:tc>
        <w:tc>
          <w:tcPr>
            <w:tcW w:w="2551" w:type="dxa"/>
            <w:tcBorders>
              <w:top w:val="single" w:color="auto" w:sz="4" w:space="0"/>
              <w:left w:val="single" w:color="auto" w:sz="4" w:space="0"/>
              <w:bottom w:val="single" w:color="auto" w:sz="4" w:space="0"/>
              <w:right w:val="single" w:color="auto" w:sz="4" w:space="0"/>
            </w:tcBorders>
            <w:vAlign w:val="center"/>
          </w:tcPr>
          <w:p w14:paraId="27FD63C6">
            <w:pPr>
              <w:rPr>
                <w:rFonts w:ascii="仿宋" w:hAnsi="仿宋" w:eastAsia="仿宋" w:cs="宋体"/>
                <w:color w:val="000000"/>
                <w:szCs w:val="21"/>
              </w:rPr>
            </w:pPr>
            <w:r>
              <w:rPr>
                <w:rFonts w:hint="eastAsia" w:ascii="仿宋" w:hAnsi="仿宋" w:eastAsia="仿宋" w:cs="宋体"/>
                <w:color w:val="000000"/>
                <w:szCs w:val="21"/>
              </w:rPr>
              <w:t>不符合要求，每发生一次扣5分。</w:t>
            </w:r>
          </w:p>
        </w:tc>
        <w:tc>
          <w:tcPr>
            <w:tcW w:w="684" w:type="dxa"/>
            <w:tcBorders>
              <w:top w:val="single" w:color="auto" w:sz="4" w:space="0"/>
              <w:left w:val="single" w:color="auto" w:sz="4" w:space="0"/>
              <w:bottom w:val="single" w:color="auto" w:sz="4" w:space="0"/>
              <w:right w:val="single" w:color="auto" w:sz="4" w:space="0"/>
            </w:tcBorders>
            <w:vAlign w:val="center"/>
          </w:tcPr>
          <w:p w14:paraId="3EE95AE7">
            <w:pPr>
              <w:jc w:val="left"/>
              <w:rPr>
                <w:rFonts w:ascii="仿宋" w:hAnsi="仿宋" w:eastAsia="仿宋" w:cs="宋体"/>
                <w:color w:val="000000"/>
                <w:szCs w:val="21"/>
              </w:rPr>
            </w:pPr>
          </w:p>
        </w:tc>
      </w:tr>
      <w:tr w14:paraId="786A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57ECFDF8">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39D7F7CC">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8.中标人应充分做好工作人员的培训、教育工作，严格遵守采购人的各项规定。中标人指派的配送人员，持有效的健康证、穿着便于辨认的工衣和配戴胸卡。配送人员遵纪守法、品行良好，在采购人院内活动严格遵守医院各项规章制度，不得做出有损采购人形象和利益的事情。中标人工作人员应服务态度好，工作认真负责。如在工作中失误给采购人造成损失，中标人应承担责任并赔偿损失；赔偿金额可从当月货款中扣减；</w:t>
            </w:r>
          </w:p>
          <w:p w14:paraId="2D4A2BBF">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9. 中标人合同执行前应向采购人提供为项目负责人、配送人员等相关人员购买的社保证明、健康证（配送人员）等材料。配送人员保持相对稳定，不能频繁更换</w:t>
            </w:r>
            <w:bookmarkStart w:id="21" w:name="OLE_LINK57"/>
            <w:bookmarkStart w:id="22" w:name="OLE_LINK58"/>
            <w:r>
              <w:rPr>
                <w:rFonts w:hint="eastAsia" w:ascii="仿宋" w:hAnsi="仿宋" w:eastAsia="仿宋" w:cs="宋体"/>
                <w:color w:val="000000"/>
                <w:szCs w:val="21"/>
              </w:rPr>
              <w:t>（更换次数原则上≤1人次/月）</w:t>
            </w:r>
            <w:bookmarkEnd w:id="21"/>
            <w:bookmarkEnd w:id="22"/>
            <w:r>
              <w:rPr>
                <w:rFonts w:hint="eastAsia" w:ascii="仿宋" w:hAnsi="仿宋" w:eastAsia="仿宋" w:cs="宋体"/>
                <w:color w:val="000000"/>
                <w:szCs w:val="21"/>
              </w:rPr>
              <w:t>，更换配送人员须经采购人同意，并做好交接班，确保服务标准不降低。</w:t>
            </w:r>
          </w:p>
        </w:tc>
        <w:tc>
          <w:tcPr>
            <w:tcW w:w="2551" w:type="dxa"/>
            <w:tcBorders>
              <w:top w:val="single" w:color="auto" w:sz="4" w:space="0"/>
              <w:left w:val="single" w:color="auto" w:sz="4" w:space="0"/>
              <w:bottom w:val="single" w:color="auto" w:sz="4" w:space="0"/>
              <w:right w:val="single" w:color="auto" w:sz="4" w:space="0"/>
            </w:tcBorders>
            <w:vAlign w:val="center"/>
          </w:tcPr>
          <w:p w14:paraId="117D01AD">
            <w:pPr>
              <w:rPr>
                <w:rFonts w:ascii="仿宋" w:hAnsi="仿宋" w:eastAsia="仿宋" w:cs="宋体"/>
                <w:color w:val="000000"/>
                <w:szCs w:val="21"/>
              </w:rPr>
            </w:pPr>
            <w:r>
              <w:rPr>
                <w:rFonts w:hint="eastAsia" w:ascii="仿宋" w:hAnsi="仿宋" w:eastAsia="仿宋" w:cs="宋体"/>
                <w:color w:val="000000"/>
                <w:szCs w:val="21"/>
              </w:rPr>
              <w:t>不符合要求，每发生一次扣5分。</w:t>
            </w:r>
          </w:p>
        </w:tc>
        <w:tc>
          <w:tcPr>
            <w:tcW w:w="684" w:type="dxa"/>
            <w:tcBorders>
              <w:top w:val="single" w:color="auto" w:sz="4" w:space="0"/>
              <w:left w:val="single" w:color="auto" w:sz="4" w:space="0"/>
              <w:bottom w:val="single" w:color="auto" w:sz="4" w:space="0"/>
              <w:right w:val="single" w:color="auto" w:sz="4" w:space="0"/>
            </w:tcBorders>
            <w:vAlign w:val="center"/>
          </w:tcPr>
          <w:p w14:paraId="03B601AC">
            <w:pPr>
              <w:jc w:val="left"/>
              <w:rPr>
                <w:rFonts w:ascii="仿宋" w:hAnsi="仿宋" w:eastAsia="仿宋" w:cs="宋体"/>
                <w:color w:val="000000"/>
                <w:szCs w:val="21"/>
              </w:rPr>
            </w:pPr>
          </w:p>
        </w:tc>
      </w:tr>
      <w:tr w14:paraId="0C8B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379FB7B3">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0557320F">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10.中标人应积极配合采购人相关业务，包括但不限于收到采购人通知后3个工作日内提供正确无误的送货单、盖章的考核表、发票等情况。</w:t>
            </w:r>
          </w:p>
        </w:tc>
        <w:tc>
          <w:tcPr>
            <w:tcW w:w="2551" w:type="dxa"/>
            <w:tcBorders>
              <w:top w:val="single" w:color="auto" w:sz="4" w:space="0"/>
              <w:left w:val="single" w:color="auto" w:sz="4" w:space="0"/>
              <w:bottom w:val="single" w:color="auto" w:sz="4" w:space="0"/>
              <w:right w:val="single" w:color="auto" w:sz="4" w:space="0"/>
            </w:tcBorders>
            <w:vAlign w:val="center"/>
          </w:tcPr>
          <w:p w14:paraId="7D282FBB">
            <w:pPr>
              <w:rPr>
                <w:rFonts w:ascii="仿宋" w:hAnsi="仿宋" w:eastAsia="仿宋" w:cs="宋体"/>
                <w:color w:val="000000"/>
                <w:szCs w:val="21"/>
              </w:rPr>
            </w:pPr>
            <w:r>
              <w:rPr>
                <w:rFonts w:hint="eastAsia" w:ascii="仿宋" w:hAnsi="仿宋" w:eastAsia="仿宋" w:cs="宋体"/>
                <w:color w:val="000000"/>
                <w:szCs w:val="21"/>
              </w:rPr>
              <w:t>不符合要求，每发生一次扣5分。</w:t>
            </w:r>
          </w:p>
        </w:tc>
        <w:tc>
          <w:tcPr>
            <w:tcW w:w="684" w:type="dxa"/>
            <w:tcBorders>
              <w:top w:val="single" w:color="auto" w:sz="4" w:space="0"/>
              <w:left w:val="single" w:color="auto" w:sz="4" w:space="0"/>
              <w:bottom w:val="single" w:color="auto" w:sz="4" w:space="0"/>
              <w:right w:val="single" w:color="auto" w:sz="4" w:space="0"/>
            </w:tcBorders>
            <w:vAlign w:val="center"/>
          </w:tcPr>
          <w:p w14:paraId="09BC0150">
            <w:pPr>
              <w:jc w:val="left"/>
              <w:rPr>
                <w:rFonts w:ascii="仿宋" w:hAnsi="仿宋" w:eastAsia="仿宋" w:cs="宋体"/>
                <w:color w:val="000000"/>
                <w:szCs w:val="21"/>
              </w:rPr>
            </w:pPr>
          </w:p>
        </w:tc>
      </w:tr>
      <w:tr w14:paraId="4B6C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4DBB76FE">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2BD0DAB2">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11.中标人向采购人提供的所有发票均真实、合法、有效的，如提供虚假发票须按虚假发票金额2倍向采购人支付违约金，赔偿采购人因此产生的全部损失，采购人有权立即终止合同，并追究中标人违约责任。</w:t>
            </w:r>
          </w:p>
        </w:tc>
        <w:tc>
          <w:tcPr>
            <w:tcW w:w="2551" w:type="dxa"/>
            <w:tcBorders>
              <w:top w:val="single" w:color="auto" w:sz="4" w:space="0"/>
              <w:left w:val="single" w:color="auto" w:sz="4" w:space="0"/>
              <w:bottom w:val="single" w:color="auto" w:sz="4" w:space="0"/>
              <w:right w:val="single" w:color="auto" w:sz="4" w:space="0"/>
            </w:tcBorders>
            <w:vAlign w:val="center"/>
          </w:tcPr>
          <w:p w14:paraId="0662B223">
            <w:pPr>
              <w:rPr>
                <w:rFonts w:ascii="仿宋" w:hAnsi="仿宋" w:eastAsia="仿宋" w:cs="宋体"/>
                <w:color w:val="000000"/>
                <w:szCs w:val="21"/>
              </w:rPr>
            </w:pPr>
            <w:r>
              <w:rPr>
                <w:rFonts w:hint="eastAsia" w:ascii="仿宋" w:hAnsi="仿宋" w:eastAsia="仿宋" w:cs="宋体"/>
                <w:color w:val="000000"/>
                <w:szCs w:val="21"/>
              </w:rPr>
              <w:t>如提供虚假发票，每发生一次扣40分。</w:t>
            </w:r>
          </w:p>
        </w:tc>
        <w:tc>
          <w:tcPr>
            <w:tcW w:w="684" w:type="dxa"/>
            <w:tcBorders>
              <w:top w:val="single" w:color="auto" w:sz="4" w:space="0"/>
              <w:left w:val="single" w:color="auto" w:sz="4" w:space="0"/>
              <w:bottom w:val="single" w:color="auto" w:sz="4" w:space="0"/>
              <w:right w:val="single" w:color="auto" w:sz="4" w:space="0"/>
            </w:tcBorders>
            <w:vAlign w:val="center"/>
          </w:tcPr>
          <w:p w14:paraId="1358A988">
            <w:pPr>
              <w:jc w:val="left"/>
              <w:rPr>
                <w:rFonts w:ascii="仿宋" w:hAnsi="仿宋" w:eastAsia="仿宋" w:cs="宋体"/>
                <w:color w:val="000000"/>
                <w:szCs w:val="21"/>
              </w:rPr>
            </w:pPr>
          </w:p>
        </w:tc>
      </w:tr>
      <w:tr w14:paraId="5444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1C3BFCE3">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446154A6">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12.</w:t>
            </w:r>
            <w:r>
              <w:rPr>
                <w:rFonts w:hint="eastAsia" w:ascii="仿宋" w:hAnsi="仿宋" w:eastAsia="仿宋" w:cs="宋体"/>
                <w:color w:val="000000"/>
                <w:szCs w:val="21"/>
              </w:rPr>
              <w:tab/>
            </w:r>
            <w:r>
              <w:rPr>
                <w:rFonts w:hint="eastAsia" w:ascii="仿宋" w:hAnsi="仿宋" w:eastAsia="仿宋" w:cs="宋体"/>
                <w:color w:val="000000"/>
                <w:szCs w:val="21"/>
              </w:rPr>
              <w:t>中标人管理人员或项目负责人能积极主动与采购人接洽，倾听采购人意见，追踪产品和服务质量，能根据采购人提出的建议调整服务实施方案，随时解决各类问题，每月随访1次或以上（方式不限），并提供月度书面随访记录表反馈给采购人。</w:t>
            </w:r>
          </w:p>
        </w:tc>
        <w:tc>
          <w:tcPr>
            <w:tcW w:w="2551" w:type="dxa"/>
            <w:tcBorders>
              <w:top w:val="single" w:color="auto" w:sz="4" w:space="0"/>
              <w:left w:val="single" w:color="auto" w:sz="4" w:space="0"/>
              <w:bottom w:val="single" w:color="auto" w:sz="4" w:space="0"/>
              <w:right w:val="single" w:color="auto" w:sz="4" w:space="0"/>
            </w:tcBorders>
            <w:vAlign w:val="center"/>
          </w:tcPr>
          <w:p w14:paraId="64F94962">
            <w:pPr>
              <w:rPr>
                <w:rFonts w:ascii="仿宋" w:hAnsi="仿宋" w:eastAsia="仿宋" w:cs="宋体"/>
                <w:color w:val="000000"/>
                <w:szCs w:val="21"/>
              </w:rPr>
            </w:pPr>
            <w:r>
              <w:rPr>
                <w:rFonts w:hint="eastAsia" w:ascii="仿宋" w:hAnsi="仿宋" w:eastAsia="仿宋" w:cs="宋体"/>
                <w:color w:val="000000"/>
                <w:szCs w:val="21"/>
              </w:rPr>
              <w:t>不符合要求，每发生一次扣10分。</w:t>
            </w:r>
          </w:p>
        </w:tc>
        <w:tc>
          <w:tcPr>
            <w:tcW w:w="684" w:type="dxa"/>
            <w:tcBorders>
              <w:top w:val="single" w:color="auto" w:sz="4" w:space="0"/>
              <w:left w:val="single" w:color="auto" w:sz="4" w:space="0"/>
              <w:bottom w:val="single" w:color="auto" w:sz="4" w:space="0"/>
              <w:right w:val="single" w:color="auto" w:sz="4" w:space="0"/>
            </w:tcBorders>
            <w:vAlign w:val="center"/>
          </w:tcPr>
          <w:p w14:paraId="4A810FB7">
            <w:pPr>
              <w:jc w:val="left"/>
              <w:rPr>
                <w:rFonts w:ascii="仿宋" w:hAnsi="仿宋" w:eastAsia="仿宋" w:cs="宋体"/>
                <w:color w:val="000000"/>
                <w:szCs w:val="21"/>
              </w:rPr>
            </w:pPr>
          </w:p>
        </w:tc>
      </w:tr>
      <w:tr w14:paraId="7585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6ACE58BC">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092F1F42">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13.</w:t>
            </w:r>
            <w:r>
              <w:rPr>
                <w:rFonts w:hint="eastAsia" w:ascii="仿宋" w:hAnsi="仿宋" w:eastAsia="仿宋" w:cs="宋体"/>
                <w:color w:val="000000"/>
                <w:szCs w:val="21"/>
              </w:rPr>
              <w:tab/>
            </w:r>
            <w:r>
              <w:rPr>
                <w:rFonts w:hint="eastAsia" w:ascii="仿宋" w:hAnsi="仿宋" w:eastAsia="仿宋" w:cs="宋体"/>
                <w:color w:val="000000"/>
                <w:szCs w:val="21"/>
              </w:rPr>
              <w:t>供货过程中发生情况时，中标人管理层积极沟通及解决问题。出现货物质量问题时，中标人的项目管理人员在4小时（不含）内到达现场处理。</w:t>
            </w:r>
          </w:p>
        </w:tc>
        <w:tc>
          <w:tcPr>
            <w:tcW w:w="2551" w:type="dxa"/>
            <w:tcBorders>
              <w:top w:val="single" w:color="auto" w:sz="4" w:space="0"/>
              <w:left w:val="single" w:color="auto" w:sz="4" w:space="0"/>
              <w:bottom w:val="single" w:color="auto" w:sz="4" w:space="0"/>
              <w:right w:val="single" w:color="auto" w:sz="4" w:space="0"/>
            </w:tcBorders>
            <w:vAlign w:val="center"/>
          </w:tcPr>
          <w:p w14:paraId="6FCEDD4C">
            <w:pPr>
              <w:rPr>
                <w:rFonts w:ascii="仿宋" w:hAnsi="仿宋" w:eastAsia="仿宋" w:cs="宋体"/>
                <w:color w:val="000000"/>
                <w:szCs w:val="21"/>
              </w:rPr>
            </w:pPr>
            <w:r>
              <w:rPr>
                <w:rFonts w:hint="eastAsia" w:ascii="仿宋" w:hAnsi="仿宋" w:eastAsia="仿宋" w:cs="宋体"/>
                <w:color w:val="000000"/>
                <w:szCs w:val="21"/>
              </w:rPr>
              <w:t>不符合要求，每发生一次扣5分。</w:t>
            </w:r>
          </w:p>
        </w:tc>
        <w:tc>
          <w:tcPr>
            <w:tcW w:w="684" w:type="dxa"/>
            <w:tcBorders>
              <w:top w:val="single" w:color="auto" w:sz="4" w:space="0"/>
              <w:left w:val="single" w:color="auto" w:sz="4" w:space="0"/>
              <w:bottom w:val="single" w:color="auto" w:sz="4" w:space="0"/>
              <w:right w:val="single" w:color="auto" w:sz="4" w:space="0"/>
            </w:tcBorders>
            <w:vAlign w:val="center"/>
          </w:tcPr>
          <w:p w14:paraId="6E0CA0E5">
            <w:pPr>
              <w:jc w:val="left"/>
              <w:rPr>
                <w:rFonts w:ascii="仿宋" w:hAnsi="仿宋" w:eastAsia="仿宋" w:cs="宋体"/>
                <w:color w:val="000000"/>
                <w:szCs w:val="21"/>
              </w:rPr>
            </w:pPr>
          </w:p>
        </w:tc>
      </w:tr>
      <w:tr w14:paraId="5792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1AD207A6">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067C2B5F">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14.</w:t>
            </w:r>
            <w:r>
              <w:rPr>
                <w:rFonts w:hint="eastAsia" w:ascii="仿宋" w:hAnsi="仿宋" w:eastAsia="仿宋" w:cs="宋体"/>
                <w:color w:val="000000"/>
                <w:szCs w:val="21"/>
              </w:rPr>
              <w:tab/>
            </w:r>
            <w:r>
              <w:rPr>
                <w:rFonts w:hint="eastAsia" w:ascii="仿宋" w:hAnsi="仿宋" w:eastAsia="仿宋" w:cs="宋体"/>
                <w:color w:val="000000"/>
                <w:szCs w:val="21"/>
              </w:rPr>
              <w:t>中标人必须配合采购人突发事件（疫情防控、极端天气、大面积停电等）的应急配送工作。</w:t>
            </w:r>
          </w:p>
        </w:tc>
        <w:tc>
          <w:tcPr>
            <w:tcW w:w="2551" w:type="dxa"/>
            <w:tcBorders>
              <w:top w:val="single" w:color="auto" w:sz="4" w:space="0"/>
              <w:left w:val="single" w:color="auto" w:sz="4" w:space="0"/>
              <w:bottom w:val="single" w:color="auto" w:sz="4" w:space="0"/>
              <w:right w:val="single" w:color="auto" w:sz="4" w:space="0"/>
            </w:tcBorders>
            <w:vAlign w:val="center"/>
          </w:tcPr>
          <w:p w14:paraId="64989A99">
            <w:pPr>
              <w:rPr>
                <w:rFonts w:ascii="仿宋" w:hAnsi="仿宋" w:eastAsia="仿宋" w:cs="宋体"/>
                <w:color w:val="000000"/>
                <w:szCs w:val="21"/>
              </w:rPr>
            </w:pPr>
            <w:r>
              <w:rPr>
                <w:rFonts w:hint="eastAsia" w:ascii="仿宋" w:hAnsi="仿宋" w:eastAsia="仿宋" w:cs="宋体"/>
                <w:color w:val="000000"/>
                <w:szCs w:val="21"/>
              </w:rPr>
              <w:t>不符合要求，每发生一次扣40分。</w:t>
            </w:r>
          </w:p>
        </w:tc>
        <w:tc>
          <w:tcPr>
            <w:tcW w:w="684" w:type="dxa"/>
            <w:tcBorders>
              <w:top w:val="single" w:color="auto" w:sz="4" w:space="0"/>
              <w:left w:val="single" w:color="auto" w:sz="4" w:space="0"/>
              <w:bottom w:val="single" w:color="auto" w:sz="4" w:space="0"/>
              <w:right w:val="single" w:color="auto" w:sz="4" w:space="0"/>
            </w:tcBorders>
            <w:vAlign w:val="center"/>
          </w:tcPr>
          <w:p w14:paraId="4D6FDD89">
            <w:pPr>
              <w:jc w:val="left"/>
              <w:rPr>
                <w:rFonts w:ascii="仿宋" w:hAnsi="仿宋" w:eastAsia="仿宋" w:cs="宋体"/>
                <w:color w:val="000000"/>
                <w:szCs w:val="21"/>
              </w:rPr>
            </w:pPr>
          </w:p>
        </w:tc>
      </w:tr>
      <w:tr w14:paraId="2491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32993DF9">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3BEB3C72">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15.</w:t>
            </w:r>
            <w:r>
              <w:rPr>
                <w:rFonts w:hint="eastAsia" w:ascii="仿宋" w:hAnsi="仿宋" w:eastAsia="仿宋" w:cs="宋体"/>
                <w:color w:val="000000"/>
                <w:szCs w:val="21"/>
              </w:rPr>
              <w:tab/>
            </w:r>
            <w:r>
              <w:rPr>
                <w:rFonts w:hint="eastAsia" w:ascii="仿宋" w:hAnsi="仿宋" w:eastAsia="仿宋" w:cs="宋体"/>
                <w:color w:val="000000"/>
                <w:szCs w:val="21"/>
              </w:rPr>
              <w:t>由于产品原料质量问题而引起的中毒或肠道病等事故事件，经有关单位鉴定原因后，如确实为中标人产品问题，中标人承担所有的费用（包括但不限于医药费）以及相应的民事或刑事责任。中标人造成安全（监管和食品卫生）事故的，采购人有权单方面终止合同，由此产生的一切经济损失由中标人自行承担。</w:t>
            </w:r>
          </w:p>
        </w:tc>
        <w:tc>
          <w:tcPr>
            <w:tcW w:w="2551" w:type="dxa"/>
            <w:tcBorders>
              <w:top w:val="single" w:color="auto" w:sz="4" w:space="0"/>
              <w:left w:val="single" w:color="auto" w:sz="4" w:space="0"/>
              <w:bottom w:val="single" w:color="auto" w:sz="4" w:space="0"/>
              <w:right w:val="single" w:color="auto" w:sz="4" w:space="0"/>
            </w:tcBorders>
            <w:vAlign w:val="center"/>
          </w:tcPr>
          <w:p w14:paraId="4A7AA3BA">
            <w:pPr>
              <w:rPr>
                <w:rFonts w:ascii="仿宋" w:hAnsi="仿宋" w:eastAsia="仿宋" w:cs="宋体"/>
                <w:color w:val="000000"/>
                <w:szCs w:val="21"/>
              </w:rPr>
            </w:pPr>
            <w:r>
              <w:rPr>
                <w:rFonts w:hint="eastAsia" w:ascii="仿宋" w:hAnsi="仿宋" w:eastAsia="仿宋" w:cs="宋体"/>
                <w:color w:val="000000"/>
                <w:szCs w:val="21"/>
              </w:rPr>
              <w:t>每发生一次扣40分。</w:t>
            </w:r>
          </w:p>
        </w:tc>
        <w:tc>
          <w:tcPr>
            <w:tcW w:w="684" w:type="dxa"/>
            <w:tcBorders>
              <w:top w:val="single" w:color="auto" w:sz="4" w:space="0"/>
              <w:left w:val="single" w:color="auto" w:sz="4" w:space="0"/>
              <w:bottom w:val="single" w:color="auto" w:sz="4" w:space="0"/>
              <w:right w:val="single" w:color="auto" w:sz="4" w:space="0"/>
            </w:tcBorders>
            <w:vAlign w:val="center"/>
          </w:tcPr>
          <w:p w14:paraId="5DE7E6E4">
            <w:pPr>
              <w:jc w:val="left"/>
              <w:rPr>
                <w:rFonts w:ascii="仿宋" w:hAnsi="仿宋" w:eastAsia="仿宋" w:cs="宋体"/>
                <w:color w:val="000000"/>
                <w:szCs w:val="21"/>
              </w:rPr>
            </w:pPr>
          </w:p>
        </w:tc>
      </w:tr>
      <w:tr w14:paraId="4E10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restart"/>
            <w:tcBorders>
              <w:top w:val="single" w:color="auto" w:sz="4" w:space="0"/>
              <w:left w:val="single" w:color="auto" w:sz="4" w:space="0"/>
              <w:right w:val="single" w:color="auto" w:sz="4" w:space="0"/>
            </w:tcBorders>
            <w:vAlign w:val="center"/>
          </w:tcPr>
          <w:p w14:paraId="03D64C34">
            <w:pPr>
              <w:jc w:val="left"/>
              <w:rPr>
                <w:rFonts w:ascii="仿宋" w:hAnsi="仿宋" w:eastAsia="仿宋" w:cs="宋体"/>
                <w:color w:val="000000"/>
                <w:szCs w:val="21"/>
                <w:lang w:bidi="ar"/>
              </w:rPr>
            </w:pPr>
            <w:r>
              <w:rPr>
                <w:rFonts w:hint="eastAsia" w:ascii="仿宋" w:hAnsi="仿宋" w:eastAsia="仿宋" w:cs="宋体"/>
                <w:color w:val="000000"/>
                <w:szCs w:val="21"/>
                <w:lang w:bidi="ar"/>
              </w:rPr>
              <w:t>食品安全及产品质量要求</w:t>
            </w:r>
          </w:p>
        </w:tc>
        <w:tc>
          <w:tcPr>
            <w:tcW w:w="5813" w:type="dxa"/>
            <w:tcBorders>
              <w:top w:val="single" w:color="auto" w:sz="4" w:space="0"/>
              <w:left w:val="single" w:color="auto" w:sz="4" w:space="0"/>
              <w:bottom w:val="single" w:color="auto" w:sz="4" w:space="0"/>
              <w:right w:val="single" w:color="auto" w:sz="4" w:space="0"/>
            </w:tcBorders>
          </w:tcPr>
          <w:p w14:paraId="4F362BE6">
            <w:pPr>
              <w:shd w:val="clear" w:color="auto" w:fill="FFFFFF"/>
              <w:snapToGrid w:val="0"/>
              <w:ind w:firstLine="420" w:firstLineChars="200"/>
              <w:jc w:val="left"/>
              <w:rPr>
                <w:rFonts w:ascii="仿宋" w:hAnsi="仿宋" w:eastAsia="仿宋" w:cs="宋体"/>
                <w:color w:val="000000"/>
                <w:szCs w:val="21"/>
              </w:rPr>
            </w:pPr>
            <w:r>
              <w:rPr>
                <w:rFonts w:hint="eastAsia" w:ascii="仿宋" w:hAnsi="仿宋" w:eastAsia="仿宋" w:cs="宋体"/>
                <w:color w:val="000000"/>
                <w:szCs w:val="21"/>
              </w:rPr>
              <w:t>1.投标人所投标的所有产品必须符合《中华人民共和国食品安全法》的相关规定及对应产品的国家、行业相关的质量要求，须保证提供的产品为合法生产、销售、渠道正规、全新（无损、无污、无皱）产品。</w:t>
            </w:r>
          </w:p>
        </w:tc>
        <w:tc>
          <w:tcPr>
            <w:tcW w:w="2551" w:type="dxa"/>
            <w:tcBorders>
              <w:top w:val="single" w:color="auto" w:sz="4" w:space="0"/>
              <w:left w:val="single" w:color="auto" w:sz="4" w:space="0"/>
              <w:bottom w:val="single" w:color="auto" w:sz="4" w:space="0"/>
              <w:right w:val="single" w:color="auto" w:sz="4" w:space="0"/>
            </w:tcBorders>
            <w:vAlign w:val="center"/>
          </w:tcPr>
          <w:p w14:paraId="6C3EFB8E">
            <w:pPr>
              <w:ind w:firstLine="420" w:firstLineChars="200"/>
              <w:rPr>
                <w:rFonts w:ascii="仿宋" w:hAnsi="仿宋" w:eastAsia="仿宋" w:cs="宋体"/>
                <w:color w:val="000000"/>
                <w:szCs w:val="21"/>
              </w:rPr>
            </w:pPr>
            <w:r>
              <w:rPr>
                <w:rFonts w:hint="eastAsia" w:ascii="仿宋" w:hAnsi="仿宋" w:eastAsia="仿宋" w:cs="宋体"/>
                <w:color w:val="000000"/>
                <w:szCs w:val="21"/>
              </w:rPr>
              <w:t>不符合要求，每发生一次扣20分。</w:t>
            </w:r>
          </w:p>
        </w:tc>
        <w:tc>
          <w:tcPr>
            <w:tcW w:w="684" w:type="dxa"/>
            <w:tcBorders>
              <w:top w:val="single" w:color="auto" w:sz="4" w:space="0"/>
              <w:left w:val="single" w:color="auto" w:sz="4" w:space="0"/>
              <w:bottom w:val="single" w:color="auto" w:sz="4" w:space="0"/>
              <w:right w:val="single" w:color="auto" w:sz="4" w:space="0"/>
            </w:tcBorders>
            <w:vAlign w:val="center"/>
          </w:tcPr>
          <w:p w14:paraId="47457118">
            <w:pPr>
              <w:jc w:val="left"/>
              <w:rPr>
                <w:rFonts w:ascii="仿宋" w:hAnsi="仿宋" w:eastAsia="仿宋" w:cs="宋体"/>
                <w:color w:val="000000"/>
                <w:szCs w:val="21"/>
              </w:rPr>
            </w:pPr>
          </w:p>
        </w:tc>
      </w:tr>
      <w:tr w14:paraId="7F4E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69E363A7">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5372F806">
            <w:pPr>
              <w:shd w:val="clear" w:color="auto" w:fill="FFFFFF"/>
              <w:snapToGrid w:val="0"/>
              <w:ind w:firstLine="420" w:firstLineChars="200"/>
              <w:jc w:val="left"/>
              <w:rPr>
                <w:rFonts w:ascii="仿宋" w:hAnsi="仿宋" w:eastAsia="仿宋" w:cs="宋体"/>
                <w:color w:val="000000"/>
                <w:szCs w:val="21"/>
              </w:rPr>
            </w:pPr>
            <w:r>
              <w:rPr>
                <w:rFonts w:hint="eastAsia" w:ascii="仿宋" w:hAnsi="仿宋" w:eastAsia="仿宋" w:cs="宋体"/>
                <w:color w:val="000000"/>
                <w:szCs w:val="21"/>
              </w:rPr>
              <w:t>2.保质期内非因采购人的人为原因而出现产品质量问题，由中标人负责包换或包退，并承担因此而产生的一切费用。</w:t>
            </w:r>
          </w:p>
        </w:tc>
        <w:tc>
          <w:tcPr>
            <w:tcW w:w="2551" w:type="dxa"/>
            <w:tcBorders>
              <w:top w:val="single" w:color="auto" w:sz="4" w:space="0"/>
              <w:left w:val="single" w:color="auto" w:sz="4" w:space="0"/>
              <w:bottom w:val="single" w:color="auto" w:sz="4" w:space="0"/>
              <w:right w:val="single" w:color="auto" w:sz="4" w:space="0"/>
            </w:tcBorders>
            <w:vAlign w:val="center"/>
          </w:tcPr>
          <w:p w14:paraId="7CA1EFC5">
            <w:pPr>
              <w:ind w:firstLine="420" w:firstLineChars="200"/>
              <w:rPr>
                <w:rFonts w:ascii="仿宋" w:hAnsi="仿宋" w:eastAsia="仿宋" w:cs="宋体"/>
                <w:color w:val="000000"/>
                <w:szCs w:val="21"/>
              </w:rPr>
            </w:pPr>
            <w:r>
              <w:rPr>
                <w:rFonts w:hint="eastAsia" w:ascii="仿宋" w:hAnsi="仿宋" w:eastAsia="仿宋" w:cs="宋体"/>
                <w:color w:val="000000"/>
                <w:szCs w:val="21"/>
              </w:rPr>
              <w:t>不符合要求，每发生一次扣5分。</w:t>
            </w:r>
          </w:p>
        </w:tc>
        <w:tc>
          <w:tcPr>
            <w:tcW w:w="684" w:type="dxa"/>
            <w:tcBorders>
              <w:top w:val="single" w:color="auto" w:sz="4" w:space="0"/>
              <w:left w:val="single" w:color="auto" w:sz="4" w:space="0"/>
              <w:bottom w:val="single" w:color="auto" w:sz="4" w:space="0"/>
              <w:right w:val="single" w:color="auto" w:sz="4" w:space="0"/>
            </w:tcBorders>
            <w:vAlign w:val="center"/>
          </w:tcPr>
          <w:p w14:paraId="6B78407D">
            <w:pPr>
              <w:jc w:val="left"/>
              <w:rPr>
                <w:rFonts w:ascii="仿宋" w:hAnsi="仿宋" w:eastAsia="仿宋" w:cs="宋体"/>
                <w:color w:val="000000"/>
                <w:szCs w:val="21"/>
              </w:rPr>
            </w:pPr>
          </w:p>
        </w:tc>
      </w:tr>
      <w:tr w14:paraId="191C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13BB8BEC">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1CF3A797">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3.中标人负责供应产品的质量检测工作，所产生的费用由中标人负责。采购人有权不定期委托有资质的质检部门对中标人供应的产品进行检测。如检测结果不达标的，费用由中标人负责，并在中标人无法提供合理解析的情况下，扣除当天的供货款作为罚金。同时，采购人有权追讨由此而引起的责任。合同期内累计检测不合格两次的，采购人有权终止合同，由此引发的所有损失由中标人负责。</w:t>
            </w:r>
          </w:p>
        </w:tc>
        <w:tc>
          <w:tcPr>
            <w:tcW w:w="2551" w:type="dxa"/>
            <w:tcBorders>
              <w:top w:val="single" w:color="auto" w:sz="4" w:space="0"/>
              <w:left w:val="single" w:color="auto" w:sz="4" w:space="0"/>
              <w:bottom w:val="single" w:color="auto" w:sz="4" w:space="0"/>
              <w:right w:val="single" w:color="auto" w:sz="4" w:space="0"/>
            </w:tcBorders>
            <w:vAlign w:val="center"/>
          </w:tcPr>
          <w:p w14:paraId="4A7110F0">
            <w:pPr>
              <w:ind w:firstLine="420" w:firstLineChars="200"/>
              <w:rPr>
                <w:rFonts w:ascii="仿宋" w:hAnsi="仿宋" w:eastAsia="仿宋" w:cs="宋体"/>
                <w:color w:val="000000"/>
                <w:szCs w:val="21"/>
              </w:rPr>
            </w:pPr>
            <w:r>
              <w:rPr>
                <w:rFonts w:hint="eastAsia" w:ascii="仿宋" w:hAnsi="仿宋" w:eastAsia="仿宋" w:cs="宋体"/>
                <w:color w:val="000000"/>
                <w:szCs w:val="21"/>
              </w:rPr>
              <w:t>不符合要求，每发生一次扣40分。</w:t>
            </w:r>
          </w:p>
        </w:tc>
        <w:tc>
          <w:tcPr>
            <w:tcW w:w="684" w:type="dxa"/>
            <w:tcBorders>
              <w:top w:val="single" w:color="auto" w:sz="4" w:space="0"/>
              <w:left w:val="single" w:color="auto" w:sz="4" w:space="0"/>
              <w:bottom w:val="single" w:color="auto" w:sz="4" w:space="0"/>
              <w:right w:val="single" w:color="auto" w:sz="4" w:space="0"/>
            </w:tcBorders>
            <w:vAlign w:val="center"/>
          </w:tcPr>
          <w:p w14:paraId="6EA3B328">
            <w:pPr>
              <w:jc w:val="left"/>
              <w:rPr>
                <w:rFonts w:ascii="仿宋" w:hAnsi="仿宋" w:eastAsia="仿宋" w:cs="宋体"/>
                <w:color w:val="000000"/>
                <w:szCs w:val="21"/>
              </w:rPr>
            </w:pPr>
          </w:p>
        </w:tc>
      </w:tr>
      <w:tr w14:paraId="056A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07F93FEA">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0015A9D0">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4.有效期：中标人应保证所供产品其剩余有效期不得少于标注有效期的70%。如有效期少于标注有效期的70%，采购人要求中标人配合相应产品的更换工作，所产生的费用由中标人负责。</w:t>
            </w:r>
          </w:p>
        </w:tc>
        <w:tc>
          <w:tcPr>
            <w:tcW w:w="2551" w:type="dxa"/>
            <w:tcBorders>
              <w:top w:val="single" w:color="auto" w:sz="4" w:space="0"/>
              <w:left w:val="single" w:color="auto" w:sz="4" w:space="0"/>
              <w:bottom w:val="single" w:color="auto" w:sz="4" w:space="0"/>
              <w:right w:val="single" w:color="auto" w:sz="4" w:space="0"/>
            </w:tcBorders>
            <w:vAlign w:val="center"/>
          </w:tcPr>
          <w:p w14:paraId="5A202DB5">
            <w:pPr>
              <w:ind w:firstLine="420" w:firstLineChars="200"/>
              <w:rPr>
                <w:rFonts w:ascii="仿宋" w:hAnsi="仿宋" w:eastAsia="仿宋" w:cs="宋体"/>
                <w:color w:val="000000"/>
                <w:szCs w:val="21"/>
              </w:rPr>
            </w:pPr>
            <w:r>
              <w:rPr>
                <w:rFonts w:hint="eastAsia" w:ascii="仿宋" w:hAnsi="仿宋" w:eastAsia="仿宋" w:cs="宋体"/>
                <w:color w:val="000000"/>
                <w:szCs w:val="21"/>
              </w:rPr>
              <w:t>有效期少于标注有效期的70%，每发生一次扣5分。</w:t>
            </w:r>
          </w:p>
          <w:p w14:paraId="1F866BD9">
            <w:pPr>
              <w:rPr>
                <w:rFonts w:ascii="仿宋" w:hAnsi="仿宋" w:eastAsia="仿宋" w:cs="宋体"/>
                <w:color w:val="000000"/>
                <w:szCs w:val="21"/>
              </w:rPr>
            </w:pPr>
            <w:r>
              <w:rPr>
                <w:rFonts w:hint="eastAsia" w:ascii="仿宋" w:hAnsi="仿宋" w:eastAsia="仿宋" w:cs="宋体"/>
                <w:color w:val="000000"/>
                <w:szCs w:val="21"/>
              </w:rPr>
              <w:t>产品有效期过期，每发生一次扣10分。</w:t>
            </w:r>
          </w:p>
        </w:tc>
        <w:tc>
          <w:tcPr>
            <w:tcW w:w="684" w:type="dxa"/>
            <w:tcBorders>
              <w:top w:val="single" w:color="auto" w:sz="4" w:space="0"/>
              <w:left w:val="single" w:color="auto" w:sz="4" w:space="0"/>
              <w:bottom w:val="single" w:color="auto" w:sz="4" w:space="0"/>
              <w:right w:val="single" w:color="auto" w:sz="4" w:space="0"/>
            </w:tcBorders>
            <w:vAlign w:val="center"/>
          </w:tcPr>
          <w:p w14:paraId="02E424F3">
            <w:pPr>
              <w:jc w:val="left"/>
              <w:rPr>
                <w:rFonts w:ascii="仿宋" w:hAnsi="仿宋" w:eastAsia="仿宋" w:cs="宋体"/>
                <w:color w:val="000000"/>
                <w:szCs w:val="21"/>
              </w:rPr>
            </w:pPr>
          </w:p>
        </w:tc>
      </w:tr>
      <w:tr w14:paraId="5295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right w:val="single" w:color="auto" w:sz="4" w:space="0"/>
            </w:tcBorders>
            <w:vAlign w:val="center"/>
          </w:tcPr>
          <w:p w14:paraId="55207501">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5935840A">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5.产品应由正规厂家生产，符合相关法律法规及行业规定，包装严实不漏，印有厂家、委托加工商（如有）、生产日期、保质期（有效期）等信息。</w:t>
            </w:r>
          </w:p>
        </w:tc>
        <w:tc>
          <w:tcPr>
            <w:tcW w:w="2551" w:type="dxa"/>
            <w:tcBorders>
              <w:top w:val="single" w:color="auto" w:sz="4" w:space="0"/>
              <w:left w:val="single" w:color="auto" w:sz="4" w:space="0"/>
              <w:bottom w:val="single" w:color="auto" w:sz="4" w:space="0"/>
              <w:right w:val="single" w:color="auto" w:sz="4" w:space="0"/>
            </w:tcBorders>
            <w:vAlign w:val="center"/>
          </w:tcPr>
          <w:p w14:paraId="751758A2">
            <w:pPr>
              <w:ind w:firstLine="420" w:firstLineChars="200"/>
              <w:rPr>
                <w:rFonts w:ascii="仿宋" w:hAnsi="仿宋" w:eastAsia="仿宋" w:cs="宋体"/>
                <w:color w:val="000000"/>
                <w:szCs w:val="21"/>
              </w:rPr>
            </w:pPr>
            <w:r>
              <w:rPr>
                <w:rFonts w:hint="eastAsia" w:ascii="仿宋" w:hAnsi="仿宋" w:eastAsia="仿宋" w:cs="宋体"/>
                <w:color w:val="000000"/>
                <w:szCs w:val="21"/>
              </w:rPr>
              <w:t>不符合要求，每发生一次扣10分。</w:t>
            </w:r>
          </w:p>
        </w:tc>
        <w:tc>
          <w:tcPr>
            <w:tcW w:w="684" w:type="dxa"/>
            <w:tcBorders>
              <w:top w:val="single" w:color="auto" w:sz="4" w:space="0"/>
              <w:left w:val="single" w:color="auto" w:sz="4" w:space="0"/>
              <w:bottom w:val="single" w:color="auto" w:sz="4" w:space="0"/>
              <w:right w:val="single" w:color="auto" w:sz="4" w:space="0"/>
            </w:tcBorders>
            <w:vAlign w:val="center"/>
          </w:tcPr>
          <w:p w14:paraId="1BB0395D">
            <w:pPr>
              <w:jc w:val="left"/>
              <w:rPr>
                <w:rFonts w:ascii="仿宋" w:hAnsi="仿宋" w:eastAsia="仿宋" w:cs="宋体"/>
                <w:color w:val="000000"/>
                <w:szCs w:val="21"/>
              </w:rPr>
            </w:pPr>
          </w:p>
        </w:tc>
      </w:tr>
      <w:tr w14:paraId="7A48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vMerge w:val="continue"/>
            <w:tcBorders>
              <w:left w:val="single" w:color="auto" w:sz="4" w:space="0"/>
              <w:bottom w:val="single" w:color="auto" w:sz="4" w:space="0"/>
              <w:right w:val="single" w:color="auto" w:sz="4" w:space="0"/>
            </w:tcBorders>
            <w:vAlign w:val="center"/>
          </w:tcPr>
          <w:p w14:paraId="4650D50C">
            <w:pPr>
              <w:jc w:val="left"/>
              <w:rPr>
                <w:rFonts w:ascii="仿宋" w:hAnsi="仿宋" w:eastAsia="仿宋" w:cs="宋体"/>
                <w:color w:val="000000"/>
                <w:szCs w:val="21"/>
                <w:lang w:bidi="ar"/>
              </w:rPr>
            </w:pPr>
          </w:p>
        </w:tc>
        <w:tc>
          <w:tcPr>
            <w:tcW w:w="5813" w:type="dxa"/>
            <w:tcBorders>
              <w:top w:val="single" w:color="auto" w:sz="4" w:space="0"/>
              <w:left w:val="single" w:color="auto" w:sz="4" w:space="0"/>
              <w:bottom w:val="single" w:color="auto" w:sz="4" w:space="0"/>
              <w:right w:val="single" w:color="auto" w:sz="4" w:space="0"/>
            </w:tcBorders>
          </w:tcPr>
          <w:p w14:paraId="260A015B">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6.中标人提供的产品来源清晰，可追溯，中标人送货时，同时提供产品质量合格材料：</w:t>
            </w:r>
          </w:p>
          <w:p w14:paraId="68E2CB49">
            <w:pPr>
              <w:ind w:firstLine="420" w:firstLineChars="200"/>
              <w:jc w:val="left"/>
              <w:rPr>
                <w:rFonts w:ascii="仿宋" w:hAnsi="仿宋" w:eastAsia="仿宋" w:cs="宋体"/>
                <w:color w:val="000000"/>
                <w:szCs w:val="21"/>
              </w:rPr>
            </w:pPr>
            <w:r>
              <w:rPr>
                <w:rFonts w:hint="eastAsia" w:ascii="仿宋" w:hAnsi="仿宋" w:eastAsia="仿宋" w:cs="宋体"/>
                <w:color w:val="000000"/>
                <w:szCs w:val="21"/>
              </w:rPr>
              <w:t>当批次产品检验合格证明（第三方检测报告或生产厂家检验合格证明）。</w:t>
            </w:r>
          </w:p>
        </w:tc>
        <w:tc>
          <w:tcPr>
            <w:tcW w:w="2551" w:type="dxa"/>
            <w:tcBorders>
              <w:top w:val="single" w:color="auto" w:sz="4" w:space="0"/>
              <w:left w:val="single" w:color="auto" w:sz="4" w:space="0"/>
              <w:bottom w:val="single" w:color="auto" w:sz="4" w:space="0"/>
              <w:right w:val="single" w:color="auto" w:sz="4" w:space="0"/>
            </w:tcBorders>
            <w:vAlign w:val="center"/>
          </w:tcPr>
          <w:p w14:paraId="5F9D9772">
            <w:pPr>
              <w:ind w:firstLine="420" w:firstLineChars="200"/>
              <w:rPr>
                <w:rFonts w:ascii="仿宋" w:hAnsi="仿宋" w:eastAsia="仿宋" w:cs="宋体"/>
                <w:color w:val="000000"/>
                <w:szCs w:val="21"/>
              </w:rPr>
            </w:pPr>
            <w:r>
              <w:rPr>
                <w:rFonts w:hint="eastAsia" w:ascii="仿宋" w:hAnsi="仿宋" w:eastAsia="仿宋" w:cs="宋体"/>
                <w:color w:val="000000"/>
                <w:szCs w:val="21"/>
              </w:rPr>
              <w:t>不符合要求，每发生一次扣20分。</w:t>
            </w:r>
          </w:p>
        </w:tc>
        <w:tc>
          <w:tcPr>
            <w:tcW w:w="684" w:type="dxa"/>
            <w:tcBorders>
              <w:top w:val="single" w:color="auto" w:sz="4" w:space="0"/>
              <w:left w:val="single" w:color="auto" w:sz="4" w:space="0"/>
              <w:bottom w:val="single" w:color="auto" w:sz="4" w:space="0"/>
              <w:right w:val="single" w:color="auto" w:sz="4" w:space="0"/>
            </w:tcBorders>
            <w:vAlign w:val="center"/>
          </w:tcPr>
          <w:p w14:paraId="3BC7C7C8">
            <w:pPr>
              <w:jc w:val="left"/>
              <w:rPr>
                <w:rFonts w:ascii="仿宋" w:hAnsi="仿宋" w:eastAsia="仿宋" w:cs="宋体"/>
                <w:color w:val="000000"/>
                <w:szCs w:val="21"/>
              </w:rPr>
            </w:pPr>
          </w:p>
        </w:tc>
      </w:tr>
      <w:tr w14:paraId="58C2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vAlign w:val="center"/>
          </w:tcPr>
          <w:p w14:paraId="3A6FB085">
            <w:pPr>
              <w:jc w:val="left"/>
              <w:rPr>
                <w:rFonts w:ascii="仿宋" w:hAnsi="仿宋" w:eastAsia="仿宋" w:cs="宋体"/>
                <w:color w:val="000000"/>
                <w:szCs w:val="21"/>
                <w:lang w:bidi="ar"/>
              </w:rPr>
            </w:pPr>
            <w:r>
              <w:rPr>
                <w:rFonts w:hint="eastAsia" w:ascii="仿宋" w:hAnsi="仿宋" w:eastAsia="仿宋" w:cs="宋体"/>
                <w:color w:val="000000"/>
                <w:szCs w:val="21"/>
                <w:lang w:bidi="ar"/>
              </w:rPr>
              <w:t>扣分合计</w:t>
            </w:r>
          </w:p>
        </w:tc>
        <w:tc>
          <w:tcPr>
            <w:tcW w:w="5813" w:type="dxa"/>
            <w:tcBorders>
              <w:top w:val="single" w:color="auto" w:sz="4" w:space="0"/>
              <w:left w:val="single" w:color="auto" w:sz="4" w:space="0"/>
              <w:bottom w:val="single" w:color="auto" w:sz="4" w:space="0"/>
              <w:right w:val="single" w:color="auto" w:sz="4" w:space="0"/>
            </w:tcBorders>
          </w:tcPr>
          <w:p w14:paraId="69D3A02D">
            <w:pPr>
              <w:ind w:firstLine="420" w:firstLineChars="200"/>
              <w:jc w:val="left"/>
              <w:rPr>
                <w:rFonts w:ascii="仿宋" w:hAnsi="仿宋" w:eastAsia="仿宋" w:cs="宋体"/>
                <w:color w:val="00000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76B4D196">
            <w:pPr>
              <w:rPr>
                <w:rFonts w:ascii="仿宋" w:hAnsi="仿宋" w:eastAsia="仿宋" w:cs="宋体"/>
                <w:color w:val="000000"/>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11D94F45">
            <w:pPr>
              <w:jc w:val="left"/>
              <w:rPr>
                <w:rFonts w:ascii="仿宋" w:hAnsi="仿宋" w:eastAsia="仿宋" w:cs="宋体"/>
                <w:color w:val="000000"/>
                <w:szCs w:val="21"/>
              </w:rPr>
            </w:pPr>
          </w:p>
        </w:tc>
      </w:tr>
      <w:tr w14:paraId="27E4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vAlign w:val="center"/>
          </w:tcPr>
          <w:p w14:paraId="453B6925">
            <w:pPr>
              <w:jc w:val="left"/>
              <w:rPr>
                <w:rFonts w:ascii="仿宋" w:hAnsi="仿宋" w:eastAsia="仿宋" w:cs="宋体"/>
                <w:color w:val="000000"/>
                <w:szCs w:val="21"/>
                <w:lang w:bidi="ar"/>
              </w:rPr>
            </w:pPr>
            <w:r>
              <w:rPr>
                <w:rFonts w:hint="eastAsia" w:ascii="仿宋" w:hAnsi="仿宋" w:eastAsia="仿宋" w:cs="宋体"/>
                <w:color w:val="000000"/>
                <w:szCs w:val="21"/>
                <w:lang w:bidi="ar"/>
              </w:rPr>
              <w:t>得分合计</w:t>
            </w:r>
          </w:p>
        </w:tc>
        <w:tc>
          <w:tcPr>
            <w:tcW w:w="5813" w:type="dxa"/>
            <w:tcBorders>
              <w:top w:val="single" w:color="auto" w:sz="4" w:space="0"/>
              <w:left w:val="single" w:color="auto" w:sz="4" w:space="0"/>
              <w:bottom w:val="single" w:color="auto" w:sz="4" w:space="0"/>
              <w:right w:val="single" w:color="auto" w:sz="4" w:space="0"/>
            </w:tcBorders>
          </w:tcPr>
          <w:p w14:paraId="133D99DE">
            <w:pPr>
              <w:tabs>
                <w:tab w:val="left" w:pos="540"/>
              </w:tabs>
              <w:jc w:val="left"/>
              <w:rPr>
                <w:rFonts w:ascii="仿宋" w:hAnsi="仿宋" w:eastAsia="仿宋" w:cs="宋体"/>
                <w:color w:val="000000"/>
                <w:kern w:val="0"/>
                <w:szCs w:val="21"/>
                <w:lang w:bidi="ar"/>
              </w:rPr>
            </w:pPr>
            <w:r>
              <w:rPr>
                <w:rFonts w:hint="eastAsia" w:ascii="仿宋" w:hAnsi="仿宋" w:eastAsia="仿宋" w:cs="宋体"/>
                <w:color w:val="000000"/>
                <w:kern w:val="0"/>
                <w:szCs w:val="21"/>
                <w:lang w:bidi="ar"/>
              </w:rPr>
              <w:t>考核得分规则：</w:t>
            </w:r>
          </w:p>
          <w:p w14:paraId="3D44A2EE">
            <w:pPr>
              <w:tabs>
                <w:tab w:val="left" w:pos="540"/>
              </w:tabs>
              <w:jc w:val="left"/>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基础分100分，本月考核得分=基础分100分-扣分</w:t>
            </w:r>
          </w:p>
        </w:tc>
        <w:tc>
          <w:tcPr>
            <w:tcW w:w="2551" w:type="dxa"/>
            <w:tcBorders>
              <w:top w:val="single" w:color="auto" w:sz="4" w:space="0"/>
              <w:left w:val="single" w:color="auto" w:sz="4" w:space="0"/>
              <w:bottom w:val="single" w:color="auto" w:sz="4" w:space="0"/>
              <w:right w:val="single" w:color="auto" w:sz="4" w:space="0"/>
            </w:tcBorders>
            <w:vAlign w:val="center"/>
          </w:tcPr>
          <w:p w14:paraId="0D2B50AB">
            <w:pPr>
              <w:rPr>
                <w:rFonts w:ascii="仿宋" w:hAnsi="仿宋" w:eastAsia="仿宋" w:cs="宋体"/>
                <w:color w:val="000000"/>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51C2592E">
            <w:pPr>
              <w:jc w:val="left"/>
              <w:rPr>
                <w:rFonts w:ascii="仿宋" w:hAnsi="仿宋" w:eastAsia="仿宋" w:cs="宋体"/>
                <w:color w:val="000000"/>
                <w:szCs w:val="21"/>
              </w:rPr>
            </w:pPr>
          </w:p>
        </w:tc>
      </w:tr>
      <w:tr w14:paraId="6CF3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vAlign w:val="center"/>
          </w:tcPr>
          <w:p w14:paraId="76E83633">
            <w:pPr>
              <w:jc w:val="left"/>
              <w:rPr>
                <w:rFonts w:ascii="仿宋" w:hAnsi="仿宋" w:eastAsia="仿宋" w:cs="宋体"/>
                <w:color w:val="000000"/>
                <w:szCs w:val="21"/>
                <w:lang w:bidi="ar"/>
              </w:rPr>
            </w:pPr>
            <w:r>
              <w:rPr>
                <w:rFonts w:hint="eastAsia" w:ascii="仿宋" w:hAnsi="仿宋" w:eastAsia="仿宋" w:cs="宋体"/>
                <w:color w:val="000000"/>
                <w:szCs w:val="21"/>
                <w:lang w:bidi="ar"/>
              </w:rPr>
              <w:t>考核扣款</w:t>
            </w:r>
          </w:p>
        </w:tc>
        <w:tc>
          <w:tcPr>
            <w:tcW w:w="5813" w:type="dxa"/>
            <w:tcBorders>
              <w:top w:val="single" w:color="auto" w:sz="4" w:space="0"/>
              <w:left w:val="single" w:color="auto" w:sz="4" w:space="0"/>
              <w:bottom w:val="single" w:color="auto" w:sz="4" w:space="0"/>
              <w:right w:val="single" w:color="auto" w:sz="4" w:space="0"/>
            </w:tcBorders>
          </w:tcPr>
          <w:p w14:paraId="45742967">
            <w:pPr>
              <w:jc w:val="left"/>
              <w:rPr>
                <w:rFonts w:ascii="仿宋" w:hAnsi="仿宋" w:eastAsia="仿宋" w:cs="宋体"/>
                <w:color w:val="000000"/>
                <w:szCs w:val="21"/>
              </w:rPr>
            </w:pPr>
            <w:r>
              <w:rPr>
                <w:rFonts w:hint="eastAsia" w:ascii="仿宋" w:hAnsi="仿宋" w:eastAsia="仿宋" w:cs="宋体"/>
                <w:color w:val="000000"/>
                <w:szCs w:val="21"/>
              </w:rPr>
              <w:t>本月考核扣款：</w:t>
            </w:r>
          </w:p>
          <w:p w14:paraId="14653D65">
            <w:pPr>
              <w:jc w:val="left"/>
              <w:rPr>
                <w:rFonts w:ascii="仿宋" w:hAnsi="仿宋" w:eastAsia="仿宋" w:cs="宋体"/>
                <w:color w:val="000000"/>
                <w:szCs w:val="21"/>
              </w:rPr>
            </w:pPr>
            <w:r>
              <w:rPr>
                <w:rFonts w:hint="eastAsia" w:ascii="仿宋" w:hAnsi="仿宋" w:eastAsia="仿宋" w:cs="宋体"/>
                <w:color w:val="000000"/>
                <w:szCs w:val="21"/>
              </w:rPr>
              <w:t>总分在90分或以上时，不扣款；</w:t>
            </w:r>
          </w:p>
          <w:p w14:paraId="0AF11187">
            <w:pPr>
              <w:jc w:val="left"/>
              <w:rPr>
                <w:rFonts w:ascii="仿宋" w:hAnsi="仿宋" w:eastAsia="仿宋" w:cs="宋体"/>
                <w:color w:val="000000"/>
                <w:szCs w:val="21"/>
              </w:rPr>
            </w:pPr>
            <w:r>
              <w:rPr>
                <w:rFonts w:hint="eastAsia" w:ascii="仿宋" w:hAnsi="仿宋" w:eastAsia="仿宋" w:cs="宋体"/>
                <w:color w:val="000000"/>
                <w:szCs w:val="21"/>
              </w:rPr>
              <w:t>总分在80~89分时，扣款 (90-总分)×100元；</w:t>
            </w:r>
          </w:p>
          <w:p w14:paraId="5D3A269B">
            <w:pPr>
              <w:jc w:val="left"/>
              <w:rPr>
                <w:rFonts w:ascii="仿宋" w:hAnsi="仿宋" w:eastAsia="仿宋" w:cs="宋体"/>
                <w:color w:val="000000"/>
                <w:szCs w:val="21"/>
              </w:rPr>
            </w:pPr>
            <w:r>
              <w:rPr>
                <w:rFonts w:hint="eastAsia" w:ascii="仿宋" w:hAnsi="仿宋" w:eastAsia="仿宋" w:cs="宋体"/>
                <w:color w:val="000000"/>
                <w:szCs w:val="21"/>
              </w:rPr>
              <w:t>总分在70~79分时，扣款 [(80-总分)×200+1000] 元；</w:t>
            </w:r>
          </w:p>
          <w:p w14:paraId="1AE7FBDA">
            <w:pPr>
              <w:jc w:val="left"/>
              <w:rPr>
                <w:rFonts w:ascii="仿宋" w:hAnsi="仿宋" w:eastAsia="仿宋" w:cs="宋体"/>
                <w:color w:val="000000"/>
                <w:szCs w:val="21"/>
              </w:rPr>
            </w:pPr>
            <w:r>
              <w:rPr>
                <w:rFonts w:hint="eastAsia" w:ascii="仿宋" w:hAnsi="仿宋" w:eastAsia="仿宋" w:cs="宋体"/>
                <w:color w:val="000000"/>
                <w:szCs w:val="21"/>
              </w:rPr>
              <w:t>总分在60~69分时，扣款 [(70-总分)×300+3000] 元；</w:t>
            </w:r>
          </w:p>
          <w:p w14:paraId="50B5911E">
            <w:pPr>
              <w:jc w:val="left"/>
              <w:rPr>
                <w:rFonts w:ascii="仿宋" w:hAnsi="仿宋" w:eastAsia="仿宋" w:cs="宋体"/>
                <w:color w:val="000000"/>
                <w:szCs w:val="21"/>
              </w:rPr>
            </w:pPr>
            <w:bookmarkStart w:id="23" w:name="OLE_LINK53"/>
            <w:bookmarkStart w:id="24" w:name="OLE_LINK54"/>
            <w:bookmarkStart w:id="25" w:name="OLE_LINK52"/>
            <w:r>
              <w:rPr>
                <w:rFonts w:hint="eastAsia" w:ascii="仿宋" w:hAnsi="仿宋" w:eastAsia="仿宋" w:cs="宋体"/>
                <w:color w:val="000000"/>
                <w:szCs w:val="21"/>
              </w:rPr>
              <w:t>低于60分扣减当月货款的50%；</w:t>
            </w:r>
          </w:p>
          <w:bookmarkEnd w:id="23"/>
          <w:bookmarkEnd w:id="24"/>
          <w:p w14:paraId="608D0B35">
            <w:pPr>
              <w:jc w:val="left"/>
              <w:rPr>
                <w:rFonts w:ascii="仿宋" w:hAnsi="仿宋" w:eastAsia="仿宋" w:cs="宋体"/>
                <w:color w:val="000000"/>
                <w:szCs w:val="21"/>
              </w:rPr>
            </w:pPr>
            <w:r>
              <w:rPr>
                <w:rFonts w:hint="eastAsia" w:ascii="仿宋" w:hAnsi="仿宋" w:eastAsia="仿宋" w:cs="宋体"/>
                <w:color w:val="000000"/>
                <w:szCs w:val="21"/>
              </w:rPr>
              <w:t>合同期内考核表月度考核评分累计</w:t>
            </w:r>
            <w:r>
              <w:rPr>
                <w:rFonts w:ascii="仿宋" w:hAnsi="仿宋" w:eastAsia="仿宋" w:cs="宋体"/>
                <w:color w:val="000000"/>
                <w:szCs w:val="21"/>
              </w:rPr>
              <w:t>1</w:t>
            </w:r>
            <w:r>
              <w:rPr>
                <w:rFonts w:hint="eastAsia" w:ascii="仿宋" w:hAnsi="仿宋" w:eastAsia="仿宋" w:cs="宋体"/>
                <w:color w:val="000000"/>
                <w:szCs w:val="21"/>
              </w:rPr>
              <w:t>次及以上低于70分，采购人有权终止合同</w:t>
            </w:r>
            <w:bookmarkEnd w:id="25"/>
            <w:r>
              <w:rPr>
                <w:rFonts w:hint="eastAsia" w:ascii="仿宋" w:hAnsi="仿宋" w:eastAsia="仿宋" w:cs="宋体"/>
                <w:color w:val="000000"/>
                <w:szCs w:val="21"/>
              </w:rPr>
              <w:t>，所发生的一切损失由中标人负责。</w:t>
            </w:r>
          </w:p>
        </w:tc>
        <w:tc>
          <w:tcPr>
            <w:tcW w:w="2551" w:type="dxa"/>
            <w:tcBorders>
              <w:top w:val="single" w:color="auto" w:sz="4" w:space="0"/>
              <w:left w:val="single" w:color="auto" w:sz="4" w:space="0"/>
              <w:bottom w:val="single" w:color="auto" w:sz="4" w:space="0"/>
              <w:right w:val="single" w:color="auto" w:sz="4" w:space="0"/>
            </w:tcBorders>
            <w:vAlign w:val="center"/>
          </w:tcPr>
          <w:p w14:paraId="1DF3CBE5">
            <w:pPr>
              <w:rPr>
                <w:rFonts w:ascii="仿宋" w:hAnsi="仿宋" w:eastAsia="仿宋" w:cs="宋体"/>
                <w:color w:val="000000"/>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2CE1C94A">
            <w:pPr>
              <w:jc w:val="left"/>
              <w:rPr>
                <w:rFonts w:ascii="仿宋" w:hAnsi="仿宋" w:eastAsia="仿宋" w:cs="宋体"/>
                <w:color w:val="000000"/>
                <w:szCs w:val="21"/>
              </w:rPr>
            </w:pPr>
          </w:p>
        </w:tc>
      </w:tr>
      <w:tr w14:paraId="77C5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vAlign w:val="center"/>
          </w:tcPr>
          <w:p w14:paraId="62C272EF">
            <w:pPr>
              <w:jc w:val="left"/>
              <w:rPr>
                <w:rFonts w:ascii="仿宋" w:hAnsi="仿宋" w:eastAsia="仿宋" w:cs="宋体"/>
                <w:color w:val="000000"/>
                <w:szCs w:val="21"/>
                <w:lang w:bidi="ar"/>
              </w:rPr>
            </w:pPr>
            <w:r>
              <w:rPr>
                <w:rFonts w:hint="eastAsia" w:ascii="仿宋" w:hAnsi="仿宋" w:eastAsia="仿宋" w:cs="宋体"/>
                <w:color w:val="000000"/>
                <w:szCs w:val="21"/>
                <w:lang w:bidi="ar"/>
              </w:rPr>
              <w:t>违约金</w:t>
            </w:r>
          </w:p>
        </w:tc>
        <w:tc>
          <w:tcPr>
            <w:tcW w:w="5813" w:type="dxa"/>
            <w:tcBorders>
              <w:top w:val="single" w:color="auto" w:sz="4" w:space="0"/>
              <w:left w:val="single" w:color="auto" w:sz="4" w:space="0"/>
              <w:bottom w:val="single" w:color="auto" w:sz="4" w:space="0"/>
              <w:right w:val="single" w:color="auto" w:sz="4" w:space="0"/>
            </w:tcBorders>
          </w:tcPr>
          <w:p w14:paraId="58C02525">
            <w:pPr>
              <w:jc w:val="left"/>
              <w:rPr>
                <w:rFonts w:ascii="仿宋" w:hAnsi="仿宋" w:eastAsia="仿宋" w:cs="宋体"/>
                <w:color w:val="000000"/>
                <w:szCs w:val="21"/>
              </w:rPr>
            </w:pPr>
            <w:r>
              <w:rPr>
                <w:rFonts w:hint="eastAsia" w:ascii="仿宋" w:hAnsi="仿宋" w:eastAsia="仿宋" w:cs="宋体"/>
                <w:color w:val="000000"/>
                <w:szCs w:val="21"/>
              </w:rPr>
              <w:t>本月违约金</w:t>
            </w:r>
            <w:r>
              <w:rPr>
                <w:rFonts w:hint="eastAsia" w:ascii="仿宋" w:hAnsi="仿宋" w:eastAsia="仿宋" w:cs="宋体"/>
                <w:color w:val="000000"/>
                <w:szCs w:val="21"/>
                <w:u w:val="single"/>
              </w:rPr>
              <w:t xml:space="preserve">           </w:t>
            </w:r>
            <w:r>
              <w:rPr>
                <w:rFonts w:hint="eastAsia" w:ascii="仿宋" w:hAnsi="仿宋" w:eastAsia="仿宋" w:cs="宋体"/>
                <w:color w:val="000000"/>
                <w:szCs w:val="21"/>
              </w:rPr>
              <w:t>元</w:t>
            </w:r>
            <w:r>
              <w:rPr>
                <w:rFonts w:hint="eastAsia" w:ascii="仿宋" w:hAnsi="仿宋" w:eastAsia="仿宋" w:cs="仿宋"/>
                <w:color w:val="000000"/>
                <w:szCs w:val="21"/>
              </w:rPr>
              <w:t>(本考核表扣款+合同违约条款的违约金）</w:t>
            </w:r>
          </w:p>
        </w:tc>
        <w:tc>
          <w:tcPr>
            <w:tcW w:w="2551" w:type="dxa"/>
            <w:tcBorders>
              <w:top w:val="single" w:color="auto" w:sz="4" w:space="0"/>
              <w:left w:val="single" w:color="auto" w:sz="4" w:space="0"/>
              <w:bottom w:val="single" w:color="auto" w:sz="4" w:space="0"/>
              <w:right w:val="single" w:color="auto" w:sz="4" w:space="0"/>
            </w:tcBorders>
            <w:vAlign w:val="center"/>
          </w:tcPr>
          <w:p w14:paraId="5E5DF2FA">
            <w:pPr>
              <w:rPr>
                <w:rFonts w:ascii="仿宋" w:hAnsi="仿宋" w:eastAsia="仿宋" w:cs="宋体"/>
                <w:color w:val="000000"/>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553F484C">
            <w:pPr>
              <w:jc w:val="left"/>
              <w:rPr>
                <w:rFonts w:ascii="仿宋" w:hAnsi="仿宋" w:eastAsia="仿宋" w:cs="宋体"/>
                <w:color w:val="000000"/>
                <w:szCs w:val="21"/>
              </w:rPr>
            </w:pPr>
          </w:p>
        </w:tc>
      </w:tr>
      <w:bookmarkEnd w:id="19"/>
      <w:bookmarkEnd w:id="20"/>
    </w:tbl>
    <w:p w14:paraId="69EEA8AA">
      <w:pPr>
        <w:pStyle w:val="5"/>
        <w:rPr>
          <w:rFonts w:ascii="仿宋" w:hAnsi="仿宋" w:eastAsia="仿宋"/>
          <w:b/>
          <w:bCs/>
          <w:sz w:val="21"/>
          <w:szCs w:val="21"/>
          <w:lang w:bidi="ar"/>
        </w:rPr>
      </w:pPr>
      <w:r>
        <w:rPr>
          <w:rFonts w:hint="eastAsia" w:ascii="仿宋" w:hAnsi="仿宋" w:eastAsia="仿宋"/>
          <w:b/>
          <w:bCs/>
          <w:sz w:val="21"/>
          <w:szCs w:val="21"/>
          <w:lang w:bidi="ar"/>
        </w:rPr>
        <w:t xml:space="preserve">考核时段：               供应商：（盖章）       </w:t>
      </w:r>
      <w:r>
        <w:rPr>
          <w:rFonts w:ascii="仿宋" w:hAnsi="仿宋" w:eastAsia="仿宋"/>
          <w:b/>
          <w:bCs/>
          <w:sz w:val="21"/>
          <w:szCs w:val="21"/>
          <w:lang w:bidi="ar"/>
        </w:rPr>
        <w:t xml:space="preserve">      </w:t>
      </w:r>
      <w:r>
        <w:rPr>
          <w:rFonts w:hint="eastAsia" w:ascii="仿宋" w:hAnsi="仿宋" w:eastAsia="仿宋"/>
          <w:b/>
          <w:bCs/>
          <w:sz w:val="21"/>
          <w:szCs w:val="21"/>
          <w:lang w:bidi="ar"/>
        </w:rPr>
        <w:t xml:space="preserve"> 供应商项目负责人：</w:t>
      </w:r>
    </w:p>
    <w:p w14:paraId="03C96DE2">
      <w:pPr>
        <w:pStyle w:val="5"/>
        <w:rPr>
          <w:rFonts w:ascii="仿宋" w:hAnsi="仿宋" w:eastAsia="仿宋"/>
          <w:b/>
          <w:bCs/>
          <w:sz w:val="21"/>
          <w:szCs w:val="21"/>
          <w:lang w:bidi="ar"/>
        </w:rPr>
      </w:pPr>
      <w:r>
        <w:rPr>
          <w:rFonts w:hint="eastAsia" w:ascii="仿宋" w:hAnsi="仿宋" w:eastAsia="仿宋"/>
          <w:b/>
          <w:bCs/>
          <w:sz w:val="21"/>
          <w:szCs w:val="21"/>
          <w:lang w:bidi="ar"/>
        </w:rPr>
        <w:t xml:space="preserve">仓管员：                 考核人：                </w:t>
      </w:r>
      <w:r>
        <w:rPr>
          <w:rFonts w:ascii="仿宋" w:hAnsi="仿宋" w:eastAsia="仿宋"/>
          <w:b/>
          <w:bCs/>
          <w:sz w:val="21"/>
          <w:szCs w:val="21"/>
          <w:lang w:bidi="ar"/>
        </w:rPr>
        <w:t xml:space="preserve">    </w:t>
      </w:r>
      <w:r>
        <w:rPr>
          <w:rFonts w:hint="eastAsia" w:ascii="仿宋" w:hAnsi="仿宋" w:eastAsia="仿宋"/>
          <w:b/>
          <w:bCs/>
          <w:sz w:val="21"/>
          <w:szCs w:val="21"/>
          <w:lang w:bidi="ar"/>
        </w:rPr>
        <w:t xml:space="preserve">  科室负责人：</w:t>
      </w:r>
    </w:p>
    <w:p w14:paraId="7DE53F6E">
      <w:pPr>
        <w:tabs>
          <w:tab w:val="left" w:pos="420"/>
        </w:tabs>
        <w:rPr>
          <w:rFonts w:ascii="仿宋" w:hAnsi="仿宋" w:eastAsia="仿宋"/>
          <w:bCs/>
          <w:color w:val="000000"/>
          <w:szCs w:val="21"/>
        </w:rPr>
      </w:pPr>
    </w:p>
    <w:p w14:paraId="5480D1AC">
      <w:pPr>
        <w:tabs>
          <w:tab w:val="left" w:pos="420"/>
        </w:tabs>
        <w:spacing w:line="276" w:lineRule="auto"/>
        <w:rPr>
          <w:rFonts w:ascii="仿宋" w:hAnsi="仿宋" w:eastAsia="仿宋"/>
          <w:bCs/>
          <w:color w:val="000000"/>
          <w:szCs w:val="21"/>
        </w:rPr>
      </w:pPr>
      <w:r>
        <w:rPr>
          <w:rFonts w:ascii="仿宋" w:hAnsi="仿宋" w:eastAsia="仿宋"/>
          <w:bCs/>
          <w:color w:val="000000"/>
          <w:szCs w:val="21"/>
        </w:rPr>
        <w:br w:type="page"/>
      </w:r>
    </w:p>
    <w:p w14:paraId="1DFF3B15">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 xml:space="preserve">附件三： </w:t>
      </w:r>
      <w:r>
        <w:rPr>
          <w:rFonts w:ascii="仿宋" w:hAnsi="仿宋" w:eastAsia="仿宋"/>
          <w:b/>
          <w:color w:val="000000"/>
          <w:szCs w:val="21"/>
        </w:rPr>
        <w:t xml:space="preserve">                           </w:t>
      </w:r>
      <w:r>
        <w:rPr>
          <w:rFonts w:hint="eastAsia" w:ascii="仿宋" w:hAnsi="仿宋" w:eastAsia="仿宋"/>
          <w:b/>
          <w:color w:val="000000"/>
          <w:szCs w:val="21"/>
        </w:rPr>
        <w:t>廉洁购销合同</w:t>
      </w:r>
    </w:p>
    <w:p w14:paraId="0C551E83">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 xml:space="preserve"> </w:t>
      </w:r>
    </w:p>
    <w:p w14:paraId="36BFF2A2">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甲方（医疗卫生机构）：中山大学肿瘤防治中心或中山大学附属肿瘤医院</w:t>
      </w:r>
    </w:p>
    <w:p w14:paraId="7CCBFB54">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 xml:space="preserve">乙方（医药生产经营企业及其代理人）：                                </w:t>
      </w:r>
    </w:p>
    <w:p w14:paraId="03B62D46">
      <w:pPr>
        <w:tabs>
          <w:tab w:val="left" w:pos="420"/>
        </w:tabs>
        <w:spacing w:line="276" w:lineRule="auto"/>
        <w:ind w:firstLine="420" w:firstLineChars="200"/>
        <w:rPr>
          <w:rFonts w:ascii="仿宋" w:hAnsi="仿宋" w:eastAsia="仿宋"/>
          <w:bCs/>
          <w:color w:val="000000"/>
          <w:szCs w:val="21"/>
        </w:rPr>
      </w:pPr>
    </w:p>
    <w:p w14:paraId="3875B47C">
      <w:pPr>
        <w:tabs>
          <w:tab w:val="left" w:pos="420"/>
        </w:tabs>
        <w:spacing w:line="276" w:lineRule="auto"/>
        <w:ind w:firstLine="420" w:firstLineChars="200"/>
        <w:rPr>
          <w:rFonts w:ascii="仿宋" w:hAnsi="仿宋" w:eastAsia="仿宋"/>
          <w:bCs/>
          <w:color w:val="000000"/>
          <w:szCs w:val="21"/>
        </w:rPr>
      </w:pPr>
      <w:r>
        <w:rPr>
          <w:rFonts w:hint="eastAsia" w:ascii="仿宋" w:hAnsi="仿宋" w:eastAsia="仿宋"/>
          <w:bCs/>
          <w:color w:val="000000"/>
          <w:szCs w:val="21"/>
        </w:rPr>
        <w:t>为进一步加强医疗卫生行风建设，规范医疗卫生机构医药购销行为，有效防范商业贿赂行为，营造公平交易、诚实守信的购销环境，经甲、乙双方协商，同意签订本合同，并共同遵守：</w:t>
      </w:r>
    </w:p>
    <w:p w14:paraId="1699D357">
      <w:pPr>
        <w:tabs>
          <w:tab w:val="left" w:pos="420"/>
        </w:tabs>
        <w:spacing w:line="276" w:lineRule="auto"/>
        <w:ind w:firstLine="420" w:firstLineChars="200"/>
        <w:rPr>
          <w:rFonts w:ascii="仿宋" w:hAnsi="仿宋" w:eastAsia="仿宋"/>
          <w:bCs/>
          <w:color w:val="000000"/>
          <w:szCs w:val="21"/>
        </w:rPr>
      </w:pPr>
      <w:r>
        <w:rPr>
          <w:rFonts w:hint="eastAsia" w:ascii="仿宋" w:hAnsi="仿宋" w:eastAsia="仿宋"/>
          <w:bCs/>
          <w:color w:val="000000"/>
          <w:szCs w:val="21"/>
        </w:rPr>
        <w:t>一、甲乙双方按照《民法典》及医药产品购销合同约定购销药品、医用设备、医用耗材等医药产品。</w:t>
      </w:r>
    </w:p>
    <w:p w14:paraId="264D5F5D">
      <w:pPr>
        <w:tabs>
          <w:tab w:val="left" w:pos="420"/>
        </w:tabs>
        <w:spacing w:line="276" w:lineRule="auto"/>
        <w:ind w:firstLine="420" w:firstLineChars="200"/>
        <w:rPr>
          <w:rFonts w:ascii="仿宋" w:hAnsi="仿宋" w:eastAsia="仿宋"/>
          <w:bCs/>
          <w:color w:val="000000"/>
          <w:szCs w:val="21"/>
        </w:rPr>
      </w:pPr>
      <w:r>
        <w:rPr>
          <w:rFonts w:hint="eastAsia" w:ascii="仿宋" w:hAnsi="仿宋" w:eastAsia="仿宋"/>
          <w:bCs/>
          <w:color w:val="000000"/>
          <w:szCs w:val="21"/>
        </w:rPr>
        <w:t>二、甲方应当严格执行医药产品购销合同验收、入库制度，对采购医药产品及发票进行查验，不得违反有关规定合同外采购、违价采购或从非规定渠道采购。</w:t>
      </w:r>
    </w:p>
    <w:p w14:paraId="01503374">
      <w:pPr>
        <w:tabs>
          <w:tab w:val="left" w:pos="420"/>
        </w:tabs>
        <w:spacing w:line="276" w:lineRule="auto"/>
        <w:ind w:firstLine="420" w:firstLineChars="200"/>
        <w:rPr>
          <w:rFonts w:ascii="仿宋" w:hAnsi="仿宋" w:eastAsia="仿宋"/>
          <w:bCs/>
          <w:color w:val="000000"/>
          <w:szCs w:val="21"/>
        </w:rPr>
      </w:pPr>
      <w:r>
        <w:rPr>
          <w:rFonts w:hint="eastAsia" w:ascii="仿宋" w:hAnsi="仿宋" w:eastAsia="仿宋"/>
          <w:bCs/>
          <w:color w:val="000000"/>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CD2933F">
      <w:pPr>
        <w:tabs>
          <w:tab w:val="left" w:pos="420"/>
        </w:tabs>
        <w:spacing w:line="276" w:lineRule="auto"/>
        <w:ind w:firstLine="420" w:firstLineChars="200"/>
        <w:rPr>
          <w:rFonts w:ascii="仿宋" w:hAnsi="仿宋" w:eastAsia="仿宋"/>
          <w:bCs/>
          <w:color w:val="000000"/>
          <w:szCs w:val="21"/>
        </w:rPr>
      </w:pPr>
      <w:r>
        <w:rPr>
          <w:rFonts w:hint="eastAsia" w:ascii="仿宋" w:hAnsi="仿宋" w:eastAsia="仿宋"/>
          <w:bCs/>
          <w:color w:val="000000"/>
          <w:szCs w:val="21"/>
        </w:rPr>
        <w:t>四、严禁甲方工作人员利用任何途径和方式，为乙方统计医师个人及临床科室有关医药产品用量信息，或为乙方统计提供便利。</w:t>
      </w:r>
    </w:p>
    <w:p w14:paraId="3567DB3D">
      <w:pPr>
        <w:tabs>
          <w:tab w:val="left" w:pos="420"/>
        </w:tabs>
        <w:spacing w:line="276" w:lineRule="auto"/>
        <w:ind w:firstLine="420" w:firstLineChars="200"/>
        <w:rPr>
          <w:rFonts w:ascii="仿宋" w:hAnsi="仿宋" w:eastAsia="仿宋"/>
          <w:bCs/>
          <w:color w:val="000000"/>
          <w:szCs w:val="21"/>
        </w:rPr>
      </w:pPr>
      <w:r>
        <w:rPr>
          <w:rFonts w:hint="eastAsia" w:ascii="仿宋" w:hAnsi="仿宋" w:eastAsia="仿宋"/>
          <w:bCs/>
          <w:color w:val="000000"/>
          <w:szCs w:val="21"/>
        </w:rPr>
        <w:t>五、乙方不得以回扣、宴请等方式影响甲方工作人员采购或使用医药产品的选择权，不得在学术活动中提供旅游、超标准支付食宿费用。</w:t>
      </w:r>
    </w:p>
    <w:p w14:paraId="6C528235">
      <w:pPr>
        <w:tabs>
          <w:tab w:val="left" w:pos="420"/>
        </w:tabs>
        <w:spacing w:line="276" w:lineRule="auto"/>
        <w:ind w:firstLine="420" w:firstLineChars="200"/>
        <w:rPr>
          <w:rFonts w:ascii="仿宋" w:hAnsi="仿宋" w:eastAsia="仿宋"/>
          <w:bCs/>
          <w:color w:val="000000"/>
          <w:szCs w:val="21"/>
        </w:rPr>
      </w:pPr>
      <w:r>
        <w:rPr>
          <w:rFonts w:hint="eastAsia" w:ascii="仿宋" w:hAnsi="仿宋" w:eastAsia="仿宋"/>
          <w:bCs/>
          <w:color w:val="000000"/>
          <w:szCs w:val="21"/>
        </w:rPr>
        <w:t>六、乙方指定</w:t>
      </w:r>
      <w:r>
        <w:rPr>
          <w:rFonts w:ascii="仿宋" w:hAnsi="仿宋" w:eastAsia="仿宋"/>
          <w:bCs/>
          <w:color w:val="000000"/>
          <w:szCs w:val="21"/>
        </w:rPr>
        <w:t>___________</w:t>
      </w:r>
      <w:r>
        <w:rPr>
          <w:rFonts w:hint="eastAsia" w:ascii="仿宋" w:hAnsi="仿宋" w:eastAsia="仿宋"/>
          <w:bCs/>
          <w:color w:val="000000"/>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45A1D4C">
      <w:pPr>
        <w:tabs>
          <w:tab w:val="left" w:pos="420"/>
        </w:tabs>
        <w:spacing w:line="276" w:lineRule="auto"/>
        <w:ind w:firstLine="420" w:firstLineChars="200"/>
        <w:rPr>
          <w:rFonts w:ascii="仿宋" w:hAnsi="仿宋" w:eastAsia="仿宋"/>
          <w:bCs/>
          <w:color w:val="000000"/>
          <w:szCs w:val="21"/>
        </w:rPr>
      </w:pPr>
      <w:r>
        <w:rPr>
          <w:rFonts w:hint="eastAsia" w:ascii="仿宋" w:hAnsi="仿宋" w:eastAsia="仿宋"/>
          <w:bCs/>
          <w:color w:val="000000"/>
          <w:szCs w:val="21"/>
        </w:rPr>
        <w:t>七、乙方如违反本合同，一经发现，甲方有权终止购销合同，并向有关卫生健康行政部门报告。如乙方被列入商业贿赂不良记录，则严格按照《国家卫生计生委关于建立医药购销领域商业贿赂不良记录的规定》（国卫法制发〔2013〕50号）相关规定处理。</w:t>
      </w:r>
    </w:p>
    <w:p w14:paraId="0022B1C6">
      <w:pPr>
        <w:tabs>
          <w:tab w:val="left" w:pos="420"/>
        </w:tabs>
        <w:spacing w:line="276" w:lineRule="auto"/>
        <w:ind w:firstLine="420" w:firstLineChars="200"/>
        <w:rPr>
          <w:rFonts w:ascii="仿宋" w:hAnsi="仿宋" w:eastAsia="仿宋"/>
          <w:bCs/>
          <w:color w:val="000000"/>
          <w:szCs w:val="21"/>
        </w:rPr>
      </w:pPr>
      <w:r>
        <w:rPr>
          <w:rFonts w:hint="eastAsia" w:ascii="仿宋" w:hAnsi="仿宋" w:eastAsia="仿宋"/>
          <w:bCs/>
          <w:color w:val="000000"/>
          <w:szCs w:val="21"/>
        </w:rPr>
        <w:t>八、本合同作为医药产品购销合同的重要组成部分，与购销合同一并执行，具有同等的法律效力。</w:t>
      </w:r>
    </w:p>
    <w:p w14:paraId="4E0A9F25">
      <w:pPr>
        <w:tabs>
          <w:tab w:val="left" w:pos="420"/>
        </w:tabs>
        <w:spacing w:line="276" w:lineRule="auto"/>
        <w:ind w:firstLine="420" w:firstLineChars="200"/>
        <w:rPr>
          <w:rFonts w:ascii="仿宋" w:hAnsi="仿宋" w:eastAsia="仿宋"/>
          <w:bCs/>
          <w:color w:val="000000"/>
          <w:szCs w:val="21"/>
        </w:rPr>
      </w:pPr>
      <w:r>
        <w:rPr>
          <w:rFonts w:hint="eastAsia" w:ascii="仿宋" w:hAnsi="仿宋" w:eastAsia="仿宋"/>
          <w:bCs/>
          <w:color w:val="000000"/>
          <w:szCs w:val="21"/>
        </w:rPr>
        <w:t>九、本合同一式 伍 份，甲方执 肆 份，乙方执 壹 份，具同等法律效力。</w:t>
      </w:r>
    </w:p>
    <w:p w14:paraId="08881A59">
      <w:pPr>
        <w:tabs>
          <w:tab w:val="left" w:pos="420"/>
        </w:tabs>
        <w:spacing w:line="276" w:lineRule="auto"/>
        <w:rPr>
          <w:rFonts w:ascii="仿宋" w:hAnsi="仿宋" w:eastAsia="仿宋"/>
          <w:bCs/>
          <w:color w:val="000000"/>
          <w:szCs w:val="21"/>
        </w:rPr>
      </w:pPr>
    </w:p>
    <w:p w14:paraId="68678A44">
      <w:pPr>
        <w:tabs>
          <w:tab w:val="left" w:pos="420"/>
        </w:tabs>
        <w:spacing w:line="276" w:lineRule="auto"/>
        <w:rPr>
          <w:rFonts w:ascii="仿宋" w:hAnsi="仿宋" w:eastAsia="仿宋"/>
          <w:b/>
          <w:color w:val="000000"/>
          <w:szCs w:val="21"/>
        </w:rPr>
      </w:pPr>
    </w:p>
    <w:p w14:paraId="67304CE9">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甲方（盖章）：                            乙方（盖章）：</w:t>
      </w:r>
    </w:p>
    <w:p w14:paraId="43036A4D">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法定代表人（负责人）：                    法定代表人（负责人）：</w:t>
      </w:r>
    </w:p>
    <w:p w14:paraId="7511D5C6">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经办人签名：                             经办人签名：</w:t>
      </w:r>
    </w:p>
    <w:p w14:paraId="2B6087FA">
      <w:pPr>
        <w:tabs>
          <w:tab w:val="left" w:pos="420"/>
        </w:tabs>
        <w:spacing w:line="276" w:lineRule="auto"/>
        <w:rPr>
          <w:rFonts w:ascii="仿宋" w:hAnsi="仿宋" w:eastAsia="仿宋"/>
          <w:b/>
          <w:color w:val="000000"/>
          <w:szCs w:val="21"/>
        </w:rPr>
      </w:pPr>
      <w:r>
        <w:rPr>
          <w:rFonts w:hint="eastAsia" w:ascii="仿宋" w:hAnsi="仿宋" w:eastAsia="仿宋"/>
          <w:b/>
          <w:color w:val="000000"/>
          <w:szCs w:val="21"/>
        </w:rPr>
        <w:t>年   月   日                               年   月  日</w:t>
      </w:r>
    </w:p>
    <w:p w14:paraId="323557E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F5CC">
    <w:pPr>
      <w:pStyle w:val="3"/>
      <w:jc w:val="center"/>
    </w:pP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5BF34"/>
    <w:multiLevelType w:val="singleLevel"/>
    <w:tmpl w:val="8DF5BF34"/>
    <w:lvl w:ilvl="0" w:tentative="0">
      <w:start w:val="1"/>
      <w:numFmt w:val="decimal"/>
      <w:lvlText w:val="%1."/>
      <w:lvlJc w:val="left"/>
      <w:pPr>
        <w:ind w:left="425" w:hanging="425"/>
      </w:pPr>
      <w:rPr>
        <w:rFonts w:hint="default"/>
      </w:rPr>
    </w:lvl>
  </w:abstractNum>
  <w:abstractNum w:abstractNumId="1">
    <w:nsid w:val="B2738686"/>
    <w:multiLevelType w:val="singleLevel"/>
    <w:tmpl w:val="B2738686"/>
    <w:lvl w:ilvl="0" w:tentative="0">
      <w:start w:val="1"/>
      <w:numFmt w:val="decimal"/>
      <w:lvlText w:val="%1."/>
      <w:lvlJc w:val="left"/>
      <w:pPr>
        <w:ind w:left="425" w:hanging="425"/>
      </w:pPr>
      <w:rPr>
        <w:rFonts w:hint="default"/>
      </w:rPr>
    </w:lvl>
  </w:abstractNum>
  <w:abstractNum w:abstractNumId="2">
    <w:nsid w:val="2FA3B9D5"/>
    <w:multiLevelType w:val="singleLevel"/>
    <w:tmpl w:val="2FA3B9D5"/>
    <w:lvl w:ilvl="0" w:tentative="0">
      <w:start w:val="1"/>
      <w:numFmt w:val="decimal"/>
      <w:lvlText w:val="%1."/>
      <w:lvlJc w:val="left"/>
      <w:pPr>
        <w:ind w:left="425" w:hanging="425"/>
      </w:pPr>
      <w:rPr>
        <w:rFonts w:hint="default"/>
      </w:rPr>
    </w:lvl>
  </w:abstractNum>
  <w:abstractNum w:abstractNumId="3">
    <w:nsid w:val="5157490E"/>
    <w:multiLevelType w:val="multilevel"/>
    <w:tmpl w:val="515749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26122F"/>
    <w:multiLevelType w:val="multilevel"/>
    <w:tmpl w:val="5A26122F"/>
    <w:lvl w:ilvl="0" w:tentative="0">
      <w:start w:val="1"/>
      <w:numFmt w:val="chineseCountingThousand"/>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6B7204"/>
    <w:multiLevelType w:val="multilevel"/>
    <w:tmpl w:val="6D6B72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F7B0A"/>
    <w:rsid w:val="000B02FA"/>
    <w:rsid w:val="00176524"/>
    <w:rsid w:val="001B55CE"/>
    <w:rsid w:val="001D0E79"/>
    <w:rsid w:val="003663E0"/>
    <w:rsid w:val="005030AB"/>
    <w:rsid w:val="00570E23"/>
    <w:rsid w:val="006605FC"/>
    <w:rsid w:val="006744AF"/>
    <w:rsid w:val="0068218A"/>
    <w:rsid w:val="00697C14"/>
    <w:rsid w:val="00817293"/>
    <w:rsid w:val="00822A10"/>
    <w:rsid w:val="00990263"/>
    <w:rsid w:val="00A31AE1"/>
    <w:rsid w:val="00AB7CD9"/>
    <w:rsid w:val="00C54267"/>
    <w:rsid w:val="00D77AC6"/>
    <w:rsid w:val="00FE04CA"/>
    <w:rsid w:val="1F027826"/>
    <w:rsid w:val="295F7B0A"/>
    <w:rsid w:val="4A450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830" w:firstLineChars="352"/>
    </w:pPr>
    <w:rPr>
      <w:rFonts w:ascii="仿宋_GB2312" w:eastAsia="仿宋_GB2312"/>
      <w:sz w:val="32"/>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Theme="minorEastAsia" w:cstheme="minorBidi"/>
      <w:color w:val="000000"/>
      <w:kern w:val="0"/>
      <w:sz w:val="24"/>
    </w:rPr>
  </w:style>
  <w:style w:type="paragraph" w:styleId="6">
    <w:name w:val="Body Text First Indent 2"/>
    <w:basedOn w:val="2"/>
    <w:unhideWhenUsed/>
    <w:qFormat/>
    <w:uiPriority w:val="99"/>
    <w:pPr>
      <w:ind w:firstLine="420" w:firstLineChars="200"/>
    </w:pPr>
  </w:style>
  <w:style w:type="paragraph" w:customStyle="1" w:styleId="9">
    <w:name w:val="表格文字"/>
    <w:basedOn w:val="1"/>
    <w:qFormat/>
    <w:uiPriority w:val="0"/>
    <w:pPr>
      <w:spacing w:before="25" w:after="25"/>
      <w:jc w:val="left"/>
    </w:pPr>
    <w:rPr>
      <w:bCs/>
      <w:spacing w:val="10"/>
      <w:kern w:val="0"/>
      <w:sz w:val="24"/>
      <w:szCs w:val="20"/>
    </w:rPr>
  </w:style>
  <w:style w:type="character" w:customStyle="1" w:styleId="10">
    <w:name w:val="页眉 字符"/>
    <w:basedOn w:val="8"/>
    <w:link w:val="4"/>
    <w:qFormat/>
    <w:uiPriority w:val="0"/>
    <w:rPr>
      <w:rFonts w:ascii="Times New Roman" w:hAnsi="Times New Roman" w:eastAsia="宋体" w:cs="Times New Roman"/>
      <w:kern w:val="2"/>
      <w:sz w:val="18"/>
      <w:szCs w:val="18"/>
    </w:rPr>
  </w:style>
  <w:style w:type="character" w:customStyle="1" w:styleId="11">
    <w:name w:val="页脚 字符"/>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10328</Words>
  <Characters>10684</Characters>
  <Lines>81</Lines>
  <Paragraphs>22</Paragraphs>
  <TotalTime>69</TotalTime>
  <ScaleCrop>false</ScaleCrop>
  <LinksUpToDate>false</LinksUpToDate>
  <CharactersWithSpaces>11122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2025-10-13T07:05:00Z</dcterms:created>
  <dc:creator>USER</dc:creator>
  <cp:lastModifiedBy>吴佩晴</cp:lastModifiedBy>
  <dcterms:modified xsi:type="dcterms:W3CDTF">2025-10-17T07:08:59Z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13A2E21DDA8042CDB46313F74D460CED_13</vt:lpwstr>
  </property>
  <property fmtid="{D5CDD505-2E9C-101B-9397-08002B2CF9AE}" pid="4" name="KSOTemplateDocerSaveRecord">
    <vt:lpwstr>eyJoZGlkIjoiMmM4OWVjNTgxN2JlODQwY2UxNzFjNjBlMjkzZTQ1MmMiLCJ1c2VySWQiOiIyMDM4Mjc4MTEifQ==</vt:lpwstr>
  </property>
</Properties>
</file>