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BFB4" w14:textId="77777777" w:rsidR="00D24607" w:rsidRPr="002336E6" w:rsidRDefault="00D24607" w:rsidP="00D24607">
      <w:pPr>
        <w:pStyle w:val="a8"/>
        <w:tabs>
          <w:tab w:val="left" w:pos="420"/>
          <w:tab w:val="left" w:pos="540"/>
        </w:tabs>
        <w:adjustRightInd w:val="0"/>
        <w:snapToGrid w:val="0"/>
        <w:spacing w:line="360" w:lineRule="auto"/>
        <w:rPr>
          <w:rFonts w:ascii="FangSong" w:eastAsia="FangSong" w:hAnsi="FangSong"/>
          <w:b/>
          <w:bCs/>
        </w:rPr>
      </w:pPr>
      <w:r w:rsidRPr="002336E6">
        <w:rPr>
          <w:rFonts w:ascii="FangSong" w:eastAsia="FangSong" w:hAnsi="FangSong" w:hint="eastAsia"/>
          <w:b/>
          <w:bCs/>
          <w:sz w:val="21"/>
          <w:lang w:val="en-GB"/>
        </w:rPr>
        <w:t>附件1：</w:t>
      </w:r>
      <w:r w:rsidRPr="002336E6">
        <w:rPr>
          <w:rFonts w:ascii="FangSong" w:eastAsia="FangSong" w:hAnsi="FangSong" w:hint="eastAsia"/>
          <w:b/>
          <w:bCs/>
          <w:sz w:val="21"/>
        </w:rPr>
        <w:t>市场调研报价单</w:t>
      </w:r>
    </w:p>
    <w:p w14:paraId="4C86A97A" w14:textId="54257DDF" w:rsidR="00D24607" w:rsidRPr="002336E6" w:rsidRDefault="00D24607" w:rsidP="00FC4446">
      <w:pPr>
        <w:shd w:val="clear" w:color="auto" w:fill="FFFFFF"/>
        <w:snapToGrid w:val="0"/>
        <w:spacing w:line="276" w:lineRule="auto"/>
        <w:jc w:val="center"/>
        <w:rPr>
          <w:rFonts w:ascii="FangSong" w:eastAsia="FangSong" w:hAnsi="FangSong"/>
          <w:b/>
          <w:bCs/>
          <w:sz w:val="24"/>
        </w:rPr>
      </w:pPr>
      <w:r w:rsidRPr="002336E6">
        <w:rPr>
          <w:rFonts w:ascii="FangSong" w:eastAsia="FangSong" w:hAnsi="FangSong" w:hint="eastAsia"/>
          <w:b/>
          <w:bCs/>
          <w:sz w:val="24"/>
        </w:rPr>
        <w:t>中山大学附属肿瘤医院</w:t>
      </w:r>
      <w:bookmarkStart w:id="0" w:name="_Hlk166490786"/>
    </w:p>
    <w:bookmarkEnd w:id="0"/>
    <w:p w14:paraId="2A83577E" w14:textId="77777777" w:rsidR="00EA44B6" w:rsidRDefault="00EA44B6" w:rsidP="00FC4446">
      <w:pPr>
        <w:shd w:val="clear" w:color="auto" w:fill="FFFFFF"/>
        <w:snapToGrid w:val="0"/>
        <w:spacing w:line="276" w:lineRule="auto"/>
        <w:jc w:val="center"/>
        <w:rPr>
          <w:rFonts w:ascii="FangSong" w:eastAsia="FangSong" w:hAnsi="FangSong"/>
          <w:b/>
          <w:bCs/>
          <w:sz w:val="24"/>
        </w:rPr>
      </w:pPr>
      <w:r w:rsidRPr="00EA44B6">
        <w:rPr>
          <w:rFonts w:ascii="FangSong" w:eastAsia="FangSong" w:hAnsi="FangSong" w:hint="eastAsia"/>
          <w:b/>
          <w:bCs/>
          <w:sz w:val="24"/>
        </w:rPr>
        <w:t>2025年膳食物资（蔬果类）采购项目</w:t>
      </w:r>
    </w:p>
    <w:p w14:paraId="4AD07B1C" w14:textId="3E85D6E8" w:rsidR="00CD2123" w:rsidRDefault="00CD2123" w:rsidP="00FC4446">
      <w:pPr>
        <w:shd w:val="clear" w:color="auto" w:fill="FFFFFF"/>
        <w:snapToGrid w:val="0"/>
        <w:spacing w:line="276" w:lineRule="auto"/>
        <w:jc w:val="center"/>
        <w:rPr>
          <w:rFonts w:ascii="FangSong" w:eastAsia="FangSong" w:hAnsi="FangSong"/>
          <w:b/>
          <w:bCs/>
          <w:sz w:val="24"/>
        </w:rPr>
      </w:pPr>
      <w:r w:rsidRPr="002336E6">
        <w:rPr>
          <w:rFonts w:ascii="FangSong" w:eastAsia="FangSong" w:hAnsi="FangSong" w:hint="eastAsia"/>
          <w:b/>
          <w:bCs/>
          <w:sz w:val="24"/>
        </w:rPr>
        <w:t>市场调研报价表</w:t>
      </w:r>
    </w:p>
    <w:p w14:paraId="2F9268DC" w14:textId="77777777" w:rsidR="009126A0" w:rsidRDefault="009126A0" w:rsidP="00FC4446">
      <w:pPr>
        <w:shd w:val="clear" w:color="auto" w:fill="FFFFFF"/>
        <w:snapToGrid w:val="0"/>
        <w:spacing w:line="276" w:lineRule="auto"/>
        <w:jc w:val="center"/>
        <w:rPr>
          <w:rFonts w:ascii="FangSong" w:eastAsia="FangSong" w:hAnsi="FangSong" w:hint="eastAsia"/>
          <w:b/>
          <w:bCs/>
          <w:sz w:val="24"/>
        </w:rPr>
      </w:pPr>
    </w:p>
    <w:p w14:paraId="0CCB9A90" w14:textId="056E44D3" w:rsidR="00FC4446" w:rsidRPr="00FC4446" w:rsidRDefault="00FC4446" w:rsidP="00FC4446">
      <w:pPr>
        <w:autoSpaceDE w:val="0"/>
        <w:autoSpaceDN w:val="0"/>
        <w:spacing w:line="276" w:lineRule="auto"/>
        <w:rPr>
          <w:rFonts w:ascii="FangSong" w:eastAsia="FangSong" w:hAnsi="FangSong"/>
          <w:b/>
          <w:bCs/>
          <w:sz w:val="24"/>
        </w:rPr>
      </w:pPr>
      <w:r w:rsidRPr="00FC4446">
        <w:rPr>
          <w:rFonts w:ascii="FangSong" w:eastAsia="FangSong" w:hAnsi="FangSong" w:hint="eastAsia"/>
          <w:b/>
          <w:bCs/>
          <w:sz w:val="24"/>
        </w:rPr>
        <w:t>一、报价方式：以</w:t>
      </w:r>
      <w:proofErr w:type="gramStart"/>
      <w:r w:rsidRPr="00FC4446">
        <w:rPr>
          <w:rFonts w:ascii="FangSong" w:eastAsia="FangSong" w:hAnsi="FangSong" w:hint="eastAsia"/>
          <w:b/>
          <w:bCs/>
          <w:sz w:val="24"/>
        </w:rPr>
        <w:t>下浮率形式</w:t>
      </w:r>
      <w:proofErr w:type="gramEnd"/>
      <w:r w:rsidRPr="00FC4446">
        <w:rPr>
          <w:rFonts w:ascii="FangSong" w:eastAsia="FangSong" w:hAnsi="FangSong" w:hint="eastAsia"/>
          <w:b/>
          <w:bCs/>
          <w:sz w:val="24"/>
        </w:rPr>
        <w:t>进行投标报价：</w:t>
      </w:r>
      <w:r w:rsidRPr="00FC4446">
        <w:rPr>
          <w:rFonts w:ascii="FangSong" w:eastAsia="FangSong" w:hAnsi="FangSong"/>
          <w:b/>
          <w:bCs/>
          <w:sz w:val="24"/>
        </w:rPr>
        <w:t xml:space="preserve"> </w:t>
      </w:r>
    </w:p>
    <w:p w14:paraId="79F5336B" w14:textId="3960A78E" w:rsidR="00FC4446" w:rsidRPr="001F185F" w:rsidRDefault="00FC4446" w:rsidP="00FC4446">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1.1</w:t>
      </w:r>
      <w:bookmarkStart w:id="1" w:name="_Hlk100219932"/>
      <w:r w:rsidR="00E00AAB">
        <w:rPr>
          <w:rFonts w:ascii="FangSong" w:eastAsia="FangSong" w:hAnsi="FangSong" w:cs="仿宋"/>
          <w:szCs w:val="21"/>
        </w:rPr>
        <w:t xml:space="preserve"> </w:t>
      </w:r>
      <w:r w:rsidRPr="001F185F">
        <w:rPr>
          <w:rFonts w:ascii="FangSong" w:eastAsia="FangSong" w:hAnsi="FangSong" w:cs="仿宋" w:hint="eastAsia"/>
          <w:szCs w:val="21"/>
        </w:rPr>
        <w:t>目录内对应品种当月的结算基准价为“广州市发展和改革委员会”官方网站的“广州市全市菜篮子平均零售价”上月5日、15日、25日公布的“零售价”的平均价；</w:t>
      </w:r>
    </w:p>
    <w:p w14:paraId="4EC2770C" w14:textId="4C08B918" w:rsidR="00FC4446" w:rsidRPr="001F185F" w:rsidRDefault="00FC4446" w:rsidP="00FC4446">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1.2</w:t>
      </w:r>
      <w:r w:rsidR="00E00AAB">
        <w:rPr>
          <w:rFonts w:ascii="FangSong" w:eastAsia="FangSong" w:hAnsi="FangSong" w:cs="仿宋"/>
          <w:szCs w:val="21"/>
        </w:rPr>
        <w:t xml:space="preserve"> </w:t>
      </w:r>
      <w:r w:rsidRPr="001F185F">
        <w:rPr>
          <w:rFonts w:ascii="FangSong" w:eastAsia="FangSong" w:hAnsi="FangSong" w:cs="仿宋" w:hint="eastAsia"/>
          <w:szCs w:val="21"/>
        </w:rPr>
        <w:t>目录外对应品种当月的结算基准价为对应品种参考肉菜市场的市场价</w:t>
      </w:r>
      <w:bookmarkEnd w:id="1"/>
      <w:r w:rsidRPr="001F185F">
        <w:rPr>
          <w:rFonts w:ascii="FangSong" w:eastAsia="FangSong" w:hAnsi="FangSong" w:cs="仿宋" w:hint="eastAsia"/>
          <w:szCs w:val="21"/>
        </w:rPr>
        <w:t>，目录内及目录</w:t>
      </w:r>
      <w:proofErr w:type="gramStart"/>
      <w:r w:rsidRPr="001F185F">
        <w:rPr>
          <w:rFonts w:ascii="FangSong" w:eastAsia="FangSong" w:hAnsi="FangSong" w:cs="仿宋" w:hint="eastAsia"/>
          <w:szCs w:val="21"/>
        </w:rPr>
        <w:t>外品种的下浮率可不</w:t>
      </w:r>
      <w:proofErr w:type="gramEnd"/>
      <w:r w:rsidRPr="001F185F">
        <w:rPr>
          <w:rFonts w:ascii="FangSong" w:eastAsia="FangSong" w:hAnsi="FangSong" w:cs="仿宋" w:hint="eastAsia"/>
          <w:szCs w:val="21"/>
        </w:rPr>
        <w:t>一致。</w:t>
      </w:r>
    </w:p>
    <w:p w14:paraId="155DE5D9" w14:textId="05B1A4A4" w:rsidR="00FC4446" w:rsidRPr="001F185F" w:rsidRDefault="00FC4446" w:rsidP="00FC4446">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hint="eastAsia"/>
          <w:szCs w:val="21"/>
        </w:rPr>
        <w:t>1</w:t>
      </w:r>
      <w:r w:rsidRPr="001F185F">
        <w:rPr>
          <w:rFonts w:ascii="FangSong" w:eastAsia="FangSong" w:hAnsi="FangSong" w:cs="仿宋"/>
          <w:szCs w:val="21"/>
        </w:rPr>
        <w:t>.3</w:t>
      </w:r>
      <w:r w:rsidR="00E00AAB">
        <w:rPr>
          <w:rFonts w:ascii="FangSong" w:eastAsia="FangSong" w:hAnsi="FangSong" w:cs="仿宋"/>
          <w:szCs w:val="21"/>
        </w:rPr>
        <w:t xml:space="preserve"> </w:t>
      </w:r>
      <w:r w:rsidRPr="001F185F">
        <w:rPr>
          <w:rFonts w:ascii="FangSong" w:eastAsia="FangSong" w:hAnsi="FangSong" w:cs="仿宋" w:hint="eastAsia"/>
          <w:szCs w:val="21"/>
        </w:rPr>
        <w:t>投标价格包含产品的价格、运输、削皮、卸装、售后服务、保险、搬运及税金等一切费用。</w:t>
      </w:r>
    </w:p>
    <w:p w14:paraId="4E476B2E" w14:textId="0B05CFAB" w:rsidR="00FC4446" w:rsidRDefault="00FC4446" w:rsidP="00FC4446">
      <w:pPr>
        <w:autoSpaceDE w:val="0"/>
        <w:autoSpaceDN w:val="0"/>
        <w:spacing w:line="276" w:lineRule="auto"/>
        <w:ind w:firstLineChars="200" w:firstLine="420"/>
        <w:rPr>
          <w:rFonts w:ascii="FangSong" w:eastAsia="FangSong" w:hAnsi="FangSong"/>
          <w:szCs w:val="21"/>
        </w:rPr>
      </w:pPr>
      <w:r w:rsidRPr="001F185F">
        <w:rPr>
          <w:rFonts w:ascii="FangSong" w:eastAsia="FangSong" w:hAnsi="FangSong" w:cs="仿宋"/>
          <w:szCs w:val="21"/>
        </w:rPr>
        <w:t>1.4</w:t>
      </w:r>
      <w:r w:rsidR="00E00AAB">
        <w:rPr>
          <w:rFonts w:ascii="FangSong" w:eastAsia="FangSong" w:hAnsi="FangSong" w:cs="仿宋"/>
          <w:szCs w:val="21"/>
        </w:rPr>
        <w:t xml:space="preserve"> </w:t>
      </w:r>
      <w:r w:rsidRPr="001F185F">
        <w:rPr>
          <w:rFonts w:ascii="FangSong" w:eastAsia="FangSong" w:hAnsi="FangSong" w:cs="仿宋" w:hint="eastAsia"/>
          <w:szCs w:val="21"/>
        </w:rPr>
        <w:t>合同期间，投标</w:t>
      </w:r>
      <w:proofErr w:type="gramStart"/>
      <w:r w:rsidRPr="001F185F">
        <w:rPr>
          <w:rFonts w:ascii="FangSong" w:eastAsia="FangSong" w:hAnsi="FangSong" w:cs="仿宋" w:hint="eastAsia"/>
          <w:szCs w:val="21"/>
        </w:rPr>
        <w:t>下浮率</w:t>
      </w:r>
      <w:proofErr w:type="gramEnd"/>
      <w:r w:rsidRPr="001F185F">
        <w:rPr>
          <w:rFonts w:ascii="FangSong" w:eastAsia="FangSong" w:hAnsi="FangSong" w:cs="仿宋" w:hint="eastAsia"/>
          <w:szCs w:val="21"/>
        </w:rPr>
        <w:t>不得变动。</w:t>
      </w:r>
      <w:r w:rsidRPr="001F185F">
        <w:rPr>
          <w:rFonts w:ascii="FangSong" w:eastAsia="FangSong" w:hAnsi="FangSong"/>
          <w:szCs w:val="21"/>
        </w:rPr>
        <w:t>具体要求详见下表：</w:t>
      </w:r>
    </w:p>
    <w:p w14:paraId="470226E8" w14:textId="4D7C1CE8" w:rsidR="001921DB" w:rsidRPr="001921DB" w:rsidRDefault="001921DB" w:rsidP="001921DB">
      <w:pPr>
        <w:pStyle w:val="aa"/>
        <w:rPr>
          <w:color w:val="auto"/>
          <w:kern w:val="2"/>
          <w:sz w:val="24"/>
          <w:szCs w:val="24"/>
        </w:rPr>
      </w:pPr>
      <w:r w:rsidRPr="001921DB">
        <w:rPr>
          <w:rFonts w:hint="eastAsia"/>
          <w:color w:val="auto"/>
          <w:kern w:val="2"/>
          <w:sz w:val="24"/>
          <w:szCs w:val="24"/>
        </w:rPr>
        <w:t>二、结算要求：</w:t>
      </w:r>
    </w:p>
    <w:p w14:paraId="389B70C4" w14:textId="78FC8D6A" w:rsidR="001921DB" w:rsidRPr="001F185F" w:rsidRDefault="001921DB" w:rsidP="001921DB">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2.1</w:t>
      </w:r>
      <w:r w:rsidR="00E00AAB">
        <w:rPr>
          <w:rFonts w:ascii="FangSong" w:eastAsia="FangSong" w:hAnsi="FangSong" w:cs="仿宋"/>
          <w:szCs w:val="21"/>
        </w:rPr>
        <w:t xml:space="preserve"> </w:t>
      </w:r>
      <w:r w:rsidRPr="001F185F">
        <w:rPr>
          <w:rFonts w:ascii="FangSong" w:eastAsia="FangSong" w:hAnsi="FangSong" w:cs="仿宋" w:hint="eastAsia"/>
          <w:szCs w:val="21"/>
        </w:rPr>
        <w:t>采购菜篮子目录内的品种：菜篮子目录</w:t>
      </w:r>
      <w:proofErr w:type="gramStart"/>
      <w:r w:rsidRPr="001F185F">
        <w:rPr>
          <w:rFonts w:ascii="FangSong" w:eastAsia="FangSong" w:hAnsi="FangSong" w:cs="仿宋" w:hint="eastAsia"/>
          <w:szCs w:val="21"/>
        </w:rPr>
        <w:t>内品种</w:t>
      </w:r>
      <w:proofErr w:type="gramEnd"/>
      <w:r w:rsidRPr="001F185F">
        <w:rPr>
          <w:rFonts w:ascii="FangSong" w:eastAsia="FangSong" w:hAnsi="FangSong" w:cs="仿宋" w:hint="eastAsia"/>
          <w:szCs w:val="21"/>
        </w:rPr>
        <w:t>的当月结算单价</w:t>
      </w:r>
      <w:r w:rsidRPr="001F185F">
        <w:rPr>
          <w:rFonts w:ascii="FangSong" w:eastAsia="FangSong" w:hAnsi="FangSong" w:cs="仿宋"/>
          <w:szCs w:val="21"/>
        </w:rPr>
        <w:t>=对应品种</w:t>
      </w:r>
      <w:r w:rsidRPr="001F185F">
        <w:rPr>
          <w:rFonts w:ascii="FangSong" w:eastAsia="FangSong" w:hAnsi="FangSong" w:cs="仿宋" w:hint="eastAsia"/>
          <w:szCs w:val="21"/>
        </w:rPr>
        <w:t>当月</w:t>
      </w:r>
      <w:r w:rsidRPr="001F185F">
        <w:rPr>
          <w:rFonts w:ascii="FangSong" w:eastAsia="FangSong" w:hAnsi="FangSong" w:cs="仿宋"/>
          <w:szCs w:val="21"/>
        </w:rPr>
        <w:t>的结算基准价×（1-</w:t>
      </w:r>
      <w:r w:rsidRPr="001F185F">
        <w:rPr>
          <w:rFonts w:ascii="FangSong" w:eastAsia="FangSong" w:hAnsi="FangSong" w:cs="仿宋" w:hint="eastAsia"/>
          <w:szCs w:val="21"/>
        </w:rPr>
        <w:t>目录</w:t>
      </w:r>
      <w:proofErr w:type="gramStart"/>
      <w:r w:rsidRPr="001F185F">
        <w:rPr>
          <w:rFonts w:ascii="FangSong" w:eastAsia="FangSong" w:hAnsi="FangSong" w:cs="仿宋" w:hint="eastAsia"/>
          <w:szCs w:val="21"/>
        </w:rPr>
        <w:t>内品种</w:t>
      </w:r>
      <w:proofErr w:type="gramEnd"/>
      <w:r w:rsidRPr="001F185F">
        <w:rPr>
          <w:rFonts w:ascii="FangSong" w:eastAsia="FangSong" w:hAnsi="FangSong" w:cs="仿宋" w:hint="eastAsia"/>
          <w:szCs w:val="21"/>
        </w:rPr>
        <w:t>投标下浮率）。</w:t>
      </w:r>
      <w:r w:rsidRPr="001F185F">
        <w:rPr>
          <w:rFonts w:ascii="FangSong" w:eastAsia="FangSong" w:hAnsi="FangSong" w:cs="仿宋"/>
          <w:szCs w:val="21"/>
        </w:rPr>
        <w:t xml:space="preserve"> </w:t>
      </w:r>
    </w:p>
    <w:p w14:paraId="3E41EAEA" w14:textId="0BCA017D" w:rsidR="001921DB" w:rsidRDefault="001921DB" w:rsidP="001921DB">
      <w:pPr>
        <w:autoSpaceDE w:val="0"/>
        <w:autoSpaceDN w:val="0"/>
        <w:spacing w:line="276" w:lineRule="auto"/>
        <w:ind w:firstLineChars="200" w:firstLine="420"/>
        <w:rPr>
          <w:rFonts w:ascii="FangSong" w:eastAsia="FangSong" w:hAnsi="FangSong" w:cs="仿宋"/>
          <w:szCs w:val="21"/>
        </w:rPr>
      </w:pPr>
      <w:r w:rsidRPr="001F185F">
        <w:rPr>
          <w:rFonts w:ascii="FangSong" w:eastAsia="FangSong" w:hAnsi="FangSong" w:cs="仿宋"/>
          <w:szCs w:val="21"/>
        </w:rPr>
        <w:t>2.2</w:t>
      </w:r>
      <w:r w:rsidR="00E00AAB">
        <w:rPr>
          <w:rFonts w:ascii="FangSong" w:eastAsia="FangSong" w:hAnsi="FangSong" w:cs="仿宋"/>
          <w:szCs w:val="21"/>
        </w:rPr>
        <w:t xml:space="preserve"> </w:t>
      </w:r>
      <w:r w:rsidRPr="001F185F">
        <w:rPr>
          <w:rFonts w:ascii="FangSong" w:eastAsia="FangSong" w:hAnsi="FangSong" w:cs="仿宋" w:hint="eastAsia"/>
          <w:szCs w:val="21"/>
        </w:rPr>
        <w:t>计划性采购菜篮子目录外的品种：在实际采购过程中，采购人如需采购广州市菜篮子目录内没有列明的品种</w:t>
      </w:r>
      <w:r w:rsidRPr="001F185F">
        <w:rPr>
          <w:rFonts w:ascii="FangSong" w:eastAsia="FangSong" w:hAnsi="FangSong" w:cs="仿宋"/>
          <w:szCs w:val="21"/>
        </w:rPr>
        <w:t>，</w:t>
      </w:r>
      <w:r w:rsidRPr="001F185F">
        <w:rPr>
          <w:rFonts w:ascii="FangSong" w:eastAsia="FangSong" w:hAnsi="FangSong" w:cs="仿宋" w:hint="eastAsia"/>
          <w:szCs w:val="21"/>
        </w:rPr>
        <w:t>当月11-20日采购双方共同到结算基准价参考肉菜市场（采购人指定）实地询价，菜篮子目录外的品种的肉菜市场的最低零售价按照投标</w:t>
      </w:r>
      <w:proofErr w:type="gramStart"/>
      <w:r w:rsidRPr="001F185F">
        <w:rPr>
          <w:rFonts w:ascii="FangSong" w:eastAsia="FangSong" w:hAnsi="FangSong" w:cs="仿宋" w:hint="eastAsia"/>
          <w:szCs w:val="21"/>
        </w:rPr>
        <w:t>下浮率</w:t>
      </w:r>
      <w:proofErr w:type="gramEnd"/>
      <w:r w:rsidRPr="001F185F">
        <w:rPr>
          <w:rFonts w:ascii="FangSong" w:eastAsia="FangSong" w:hAnsi="FangSong" w:cs="仿宋" w:hint="eastAsia"/>
          <w:szCs w:val="21"/>
        </w:rPr>
        <w:t>计算得到次月的结算基准价。采购菜篮子目录外的品种的次月结算单价</w:t>
      </w:r>
      <w:r w:rsidRPr="001F185F">
        <w:rPr>
          <w:rFonts w:ascii="FangSong" w:eastAsia="FangSong" w:hAnsi="FangSong" w:cs="仿宋"/>
          <w:szCs w:val="21"/>
        </w:rPr>
        <w:t>=对应品种</w:t>
      </w:r>
      <w:r w:rsidRPr="001F185F">
        <w:rPr>
          <w:rFonts w:ascii="FangSong" w:eastAsia="FangSong" w:hAnsi="FangSong" w:cs="仿宋" w:hint="eastAsia"/>
          <w:szCs w:val="21"/>
        </w:rPr>
        <w:t>次月</w:t>
      </w:r>
      <w:r w:rsidRPr="001F185F">
        <w:rPr>
          <w:rFonts w:ascii="FangSong" w:eastAsia="FangSong" w:hAnsi="FangSong" w:cs="仿宋"/>
          <w:szCs w:val="21"/>
        </w:rPr>
        <w:t>的结算基准价×（1-</w:t>
      </w:r>
      <w:r w:rsidRPr="001F185F">
        <w:rPr>
          <w:rFonts w:ascii="FangSong" w:eastAsia="FangSong" w:hAnsi="FangSong" w:cs="仿宋" w:hint="eastAsia"/>
          <w:szCs w:val="21"/>
        </w:rPr>
        <w:t>目录</w:t>
      </w:r>
      <w:proofErr w:type="gramStart"/>
      <w:r w:rsidRPr="001F185F">
        <w:rPr>
          <w:rFonts w:ascii="FangSong" w:eastAsia="FangSong" w:hAnsi="FangSong" w:cs="仿宋" w:hint="eastAsia"/>
          <w:szCs w:val="21"/>
        </w:rPr>
        <w:t>外品种</w:t>
      </w:r>
      <w:proofErr w:type="gramEnd"/>
      <w:r w:rsidRPr="001F185F">
        <w:rPr>
          <w:rFonts w:ascii="FangSong" w:eastAsia="FangSong" w:hAnsi="FangSong" w:cs="仿宋"/>
          <w:szCs w:val="21"/>
        </w:rPr>
        <w:t xml:space="preserve">投标下浮率）。 </w:t>
      </w:r>
    </w:p>
    <w:p w14:paraId="79BCB176" w14:textId="41A1994A" w:rsidR="00026D49" w:rsidRPr="00EA44B6" w:rsidRDefault="001921DB" w:rsidP="00EA44B6">
      <w:pPr>
        <w:adjustRightInd w:val="0"/>
        <w:snapToGrid w:val="0"/>
        <w:rPr>
          <w:rFonts w:ascii="FangSong" w:eastAsia="FangSong" w:hAnsi="FangSong"/>
          <w:b/>
          <w:bCs/>
          <w:sz w:val="24"/>
        </w:rPr>
      </w:pPr>
      <w:r>
        <w:rPr>
          <w:rFonts w:ascii="FangSong" w:eastAsia="FangSong" w:hAnsi="FangSong" w:hint="eastAsia"/>
          <w:b/>
          <w:bCs/>
          <w:sz w:val="24"/>
        </w:rPr>
        <w:t>三</w:t>
      </w:r>
      <w:r w:rsidR="00FC4446">
        <w:rPr>
          <w:rFonts w:ascii="FangSong" w:eastAsia="FangSong" w:hAnsi="FangSong" w:hint="eastAsia"/>
          <w:b/>
          <w:bCs/>
          <w:sz w:val="24"/>
        </w:rPr>
        <w:t>、</w:t>
      </w:r>
      <w:r w:rsidR="00EA44B6" w:rsidRPr="00EA44B6">
        <w:rPr>
          <w:rFonts w:ascii="FangSong" w:eastAsia="FangSong" w:hAnsi="FangSong" w:hint="eastAsia"/>
          <w:b/>
          <w:bCs/>
          <w:sz w:val="24"/>
        </w:rPr>
        <w:t>报价单</w:t>
      </w:r>
      <w:r w:rsidR="00FC4446">
        <w:rPr>
          <w:rFonts w:ascii="FangSong" w:eastAsia="FangSong" w:hAnsi="FangSong" w:hint="eastAsia"/>
          <w:b/>
          <w:bCs/>
          <w:sz w:val="24"/>
        </w:rPr>
        <w:t>（如支持净菜配送，同时填写此表）</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20"/>
        <w:gridCol w:w="1333"/>
        <w:gridCol w:w="1276"/>
        <w:gridCol w:w="2552"/>
        <w:gridCol w:w="1276"/>
        <w:gridCol w:w="1276"/>
      </w:tblGrid>
      <w:tr w:rsidR="009D7ED0" w:rsidRPr="001F185F" w14:paraId="5AF0CC11" w14:textId="598D2E08" w:rsidTr="009D7ED0">
        <w:trPr>
          <w:trHeight w:val="471"/>
          <w:jc w:val="center"/>
        </w:trPr>
        <w:tc>
          <w:tcPr>
            <w:tcW w:w="472" w:type="pct"/>
            <w:vAlign w:val="center"/>
          </w:tcPr>
          <w:p w14:paraId="254D2A40"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分类</w:t>
            </w:r>
          </w:p>
        </w:tc>
        <w:tc>
          <w:tcPr>
            <w:tcW w:w="865" w:type="pct"/>
            <w:vAlign w:val="center"/>
          </w:tcPr>
          <w:p w14:paraId="1C5AA681"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目录内品种</w:t>
            </w:r>
          </w:p>
          <w:p w14:paraId="5CB260C1"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结算基准价来源</w:t>
            </w:r>
          </w:p>
        </w:tc>
        <w:tc>
          <w:tcPr>
            <w:tcW w:w="633" w:type="pct"/>
            <w:vAlign w:val="center"/>
          </w:tcPr>
          <w:p w14:paraId="2C409CA2" w14:textId="77777777" w:rsidR="009D7ED0" w:rsidRDefault="009D7ED0" w:rsidP="00FC4446">
            <w:pPr>
              <w:autoSpaceDE w:val="0"/>
              <w:autoSpaceDN w:val="0"/>
              <w:jc w:val="center"/>
              <w:rPr>
                <w:rFonts w:ascii="FangSong" w:eastAsia="FangSong" w:hAnsi="FangSong" w:cs="仿宋"/>
                <w:b/>
                <w:bCs/>
                <w:szCs w:val="21"/>
              </w:rPr>
            </w:pPr>
            <w:r>
              <w:rPr>
                <w:rFonts w:ascii="FangSong" w:eastAsia="FangSong" w:hAnsi="FangSong" w:cs="仿宋" w:hint="eastAsia"/>
                <w:b/>
                <w:bCs/>
                <w:szCs w:val="21"/>
              </w:rPr>
              <w:t>非净菜配送</w:t>
            </w:r>
          </w:p>
          <w:p w14:paraId="4236A74D" w14:textId="4B7A41F1"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目录内品种</w:t>
            </w:r>
          </w:p>
          <w:p w14:paraId="45BD10FC" w14:textId="77777777" w:rsidR="009D7ED0" w:rsidRPr="001F185F" w:rsidRDefault="009D7ED0" w:rsidP="00FC4446">
            <w:pPr>
              <w:autoSpaceDE w:val="0"/>
              <w:autoSpaceDN w:val="0"/>
              <w:jc w:val="center"/>
              <w:rPr>
                <w:rFonts w:ascii="FangSong" w:eastAsia="FangSong" w:hAnsi="FangSong" w:cs="仿宋"/>
                <w:b/>
                <w:bCs/>
                <w:szCs w:val="21"/>
              </w:rPr>
            </w:pPr>
            <w:proofErr w:type="gramStart"/>
            <w:r w:rsidRPr="001F185F">
              <w:rPr>
                <w:rFonts w:ascii="FangSong" w:eastAsia="FangSong" w:hAnsi="FangSong" w:cs="仿宋" w:hint="eastAsia"/>
                <w:b/>
                <w:bCs/>
                <w:szCs w:val="21"/>
              </w:rPr>
              <w:t>下浮率</w:t>
            </w:r>
            <w:proofErr w:type="gramEnd"/>
          </w:p>
        </w:tc>
        <w:tc>
          <w:tcPr>
            <w:tcW w:w="606" w:type="pct"/>
          </w:tcPr>
          <w:p w14:paraId="42FE853B" w14:textId="77777777" w:rsidR="009D7ED0" w:rsidRDefault="009D7ED0" w:rsidP="009D7ED0">
            <w:pPr>
              <w:autoSpaceDE w:val="0"/>
              <w:autoSpaceDN w:val="0"/>
              <w:jc w:val="center"/>
              <w:rPr>
                <w:rFonts w:ascii="FangSong" w:eastAsia="FangSong" w:hAnsi="FangSong" w:cs="仿宋"/>
                <w:b/>
                <w:bCs/>
                <w:szCs w:val="21"/>
              </w:rPr>
            </w:pPr>
            <w:r>
              <w:rPr>
                <w:rFonts w:ascii="FangSong" w:eastAsia="FangSong" w:hAnsi="FangSong" w:cs="仿宋" w:hint="eastAsia"/>
                <w:b/>
                <w:bCs/>
                <w:szCs w:val="21"/>
              </w:rPr>
              <w:t>净菜配送</w:t>
            </w:r>
          </w:p>
          <w:p w14:paraId="31F9EBDC" w14:textId="27C81C9D" w:rsidR="009D7ED0" w:rsidRPr="001F185F" w:rsidRDefault="009D7ED0" w:rsidP="009D7ED0">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目录内品种</w:t>
            </w:r>
          </w:p>
          <w:p w14:paraId="2B9A721E" w14:textId="5BDA1F60" w:rsidR="009D7ED0" w:rsidRPr="001F185F" w:rsidRDefault="009D7ED0" w:rsidP="009D7ED0">
            <w:pPr>
              <w:autoSpaceDE w:val="0"/>
              <w:autoSpaceDN w:val="0"/>
              <w:jc w:val="center"/>
              <w:rPr>
                <w:rFonts w:ascii="FangSong" w:eastAsia="FangSong" w:hAnsi="FangSong" w:cs="仿宋"/>
                <w:b/>
                <w:bCs/>
                <w:szCs w:val="21"/>
              </w:rPr>
            </w:pPr>
            <w:proofErr w:type="gramStart"/>
            <w:r w:rsidRPr="001F185F">
              <w:rPr>
                <w:rFonts w:ascii="FangSong" w:eastAsia="FangSong" w:hAnsi="FangSong" w:cs="仿宋" w:hint="eastAsia"/>
                <w:b/>
                <w:bCs/>
                <w:szCs w:val="21"/>
              </w:rPr>
              <w:t>下浮率</w:t>
            </w:r>
            <w:proofErr w:type="gramEnd"/>
          </w:p>
        </w:tc>
        <w:tc>
          <w:tcPr>
            <w:tcW w:w="1212" w:type="pct"/>
            <w:vAlign w:val="center"/>
          </w:tcPr>
          <w:p w14:paraId="01416F7D" w14:textId="38AEF930"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目录外品种</w:t>
            </w:r>
          </w:p>
          <w:p w14:paraId="465EBD04"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结算基准价参考肉菜市场</w:t>
            </w:r>
          </w:p>
        </w:tc>
        <w:tc>
          <w:tcPr>
            <w:tcW w:w="606" w:type="pct"/>
            <w:vAlign w:val="center"/>
          </w:tcPr>
          <w:p w14:paraId="6EAD064E" w14:textId="77777777" w:rsidR="009D7ED0" w:rsidRDefault="009D7ED0" w:rsidP="009D7ED0">
            <w:pPr>
              <w:autoSpaceDE w:val="0"/>
              <w:autoSpaceDN w:val="0"/>
              <w:jc w:val="center"/>
              <w:rPr>
                <w:rFonts w:ascii="FangSong" w:eastAsia="FangSong" w:hAnsi="FangSong" w:cs="仿宋"/>
                <w:b/>
                <w:bCs/>
                <w:szCs w:val="21"/>
              </w:rPr>
            </w:pPr>
            <w:r>
              <w:rPr>
                <w:rFonts w:ascii="FangSong" w:eastAsia="FangSong" w:hAnsi="FangSong" w:cs="仿宋" w:hint="eastAsia"/>
                <w:b/>
                <w:bCs/>
                <w:szCs w:val="21"/>
              </w:rPr>
              <w:t>非净菜配送</w:t>
            </w:r>
          </w:p>
          <w:p w14:paraId="3B861B8B"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目录外品种</w:t>
            </w:r>
          </w:p>
          <w:p w14:paraId="22DB87AD" w14:textId="77777777" w:rsidR="009D7ED0" w:rsidRPr="001F185F" w:rsidRDefault="009D7ED0" w:rsidP="00FC4446">
            <w:pPr>
              <w:autoSpaceDE w:val="0"/>
              <w:autoSpaceDN w:val="0"/>
              <w:jc w:val="center"/>
              <w:rPr>
                <w:rFonts w:ascii="FangSong" w:eastAsia="FangSong" w:hAnsi="FangSong" w:cs="仿宋"/>
                <w:b/>
                <w:bCs/>
                <w:szCs w:val="21"/>
              </w:rPr>
            </w:pPr>
            <w:proofErr w:type="gramStart"/>
            <w:r w:rsidRPr="001F185F">
              <w:rPr>
                <w:rFonts w:ascii="FangSong" w:eastAsia="FangSong" w:hAnsi="FangSong" w:cs="仿宋" w:hint="eastAsia"/>
                <w:b/>
                <w:bCs/>
                <w:szCs w:val="21"/>
              </w:rPr>
              <w:t>下浮率</w:t>
            </w:r>
            <w:proofErr w:type="gramEnd"/>
          </w:p>
        </w:tc>
        <w:tc>
          <w:tcPr>
            <w:tcW w:w="606" w:type="pct"/>
          </w:tcPr>
          <w:p w14:paraId="30076C07" w14:textId="77777777" w:rsidR="009D7ED0" w:rsidRDefault="009D7ED0" w:rsidP="009D7ED0">
            <w:pPr>
              <w:autoSpaceDE w:val="0"/>
              <w:autoSpaceDN w:val="0"/>
              <w:jc w:val="center"/>
              <w:rPr>
                <w:rFonts w:ascii="FangSong" w:eastAsia="FangSong" w:hAnsi="FangSong" w:cs="仿宋"/>
                <w:b/>
                <w:bCs/>
                <w:szCs w:val="21"/>
              </w:rPr>
            </w:pPr>
            <w:r>
              <w:rPr>
                <w:rFonts w:ascii="FangSong" w:eastAsia="FangSong" w:hAnsi="FangSong" w:cs="仿宋" w:hint="eastAsia"/>
                <w:b/>
                <w:bCs/>
                <w:szCs w:val="21"/>
              </w:rPr>
              <w:t>净菜配送</w:t>
            </w:r>
          </w:p>
          <w:p w14:paraId="6AFE0CF0" w14:textId="556F75CF" w:rsidR="009D7ED0" w:rsidRPr="001F185F" w:rsidRDefault="009D7ED0" w:rsidP="009D7ED0">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目录外品种</w:t>
            </w:r>
          </w:p>
          <w:p w14:paraId="182BBF4D" w14:textId="2F433AF7" w:rsidR="009D7ED0" w:rsidRPr="001F185F" w:rsidRDefault="009D7ED0" w:rsidP="009D7ED0">
            <w:pPr>
              <w:autoSpaceDE w:val="0"/>
              <w:autoSpaceDN w:val="0"/>
              <w:jc w:val="center"/>
              <w:rPr>
                <w:rFonts w:ascii="FangSong" w:eastAsia="FangSong" w:hAnsi="FangSong" w:cs="仿宋"/>
                <w:b/>
                <w:bCs/>
                <w:szCs w:val="21"/>
              </w:rPr>
            </w:pPr>
            <w:proofErr w:type="gramStart"/>
            <w:r w:rsidRPr="001F185F">
              <w:rPr>
                <w:rFonts w:ascii="FangSong" w:eastAsia="FangSong" w:hAnsi="FangSong" w:cs="仿宋" w:hint="eastAsia"/>
                <w:b/>
                <w:bCs/>
                <w:szCs w:val="21"/>
              </w:rPr>
              <w:t>下浮率</w:t>
            </w:r>
            <w:proofErr w:type="gramEnd"/>
          </w:p>
        </w:tc>
      </w:tr>
      <w:tr w:rsidR="009D7ED0" w:rsidRPr="001F185F" w14:paraId="07604FF6" w14:textId="6156B101" w:rsidTr="009126A0">
        <w:trPr>
          <w:trHeight w:val="1225"/>
          <w:jc w:val="center"/>
        </w:trPr>
        <w:tc>
          <w:tcPr>
            <w:tcW w:w="472" w:type="pct"/>
            <w:vAlign w:val="center"/>
          </w:tcPr>
          <w:p w14:paraId="62D1884F"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蔬菜及瓜果类</w:t>
            </w:r>
          </w:p>
        </w:tc>
        <w:tc>
          <w:tcPr>
            <w:tcW w:w="865" w:type="pct"/>
            <w:vAlign w:val="center"/>
          </w:tcPr>
          <w:p w14:paraId="1B671A44" w14:textId="77777777" w:rsidR="009D7ED0" w:rsidRPr="001F185F" w:rsidRDefault="009D7ED0" w:rsidP="00FC4446">
            <w:pPr>
              <w:autoSpaceDE w:val="0"/>
              <w:autoSpaceDN w:val="0"/>
              <w:jc w:val="center"/>
              <w:rPr>
                <w:rFonts w:ascii="FangSong" w:eastAsia="FangSong" w:hAnsi="FangSong" w:cs="仿宋"/>
                <w:szCs w:val="21"/>
              </w:rPr>
            </w:pPr>
            <w:r w:rsidRPr="001F185F">
              <w:rPr>
                <w:rFonts w:ascii="FangSong" w:eastAsia="FangSong" w:hAnsi="FangSong" w:cs="仿宋" w:hint="eastAsia"/>
                <w:szCs w:val="21"/>
              </w:rPr>
              <w:t>“广州市全市菜篮子平均零售价”上月5日、15日、25日公布的“零售价”的平均价</w:t>
            </w:r>
          </w:p>
        </w:tc>
        <w:tc>
          <w:tcPr>
            <w:tcW w:w="633" w:type="pct"/>
            <w:vAlign w:val="center"/>
          </w:tcPr>
          <w:p w14:paraId="5D6754D4" w14:textId="77777777" w:rsidR="009D7ED0" w:rsidRPr="001F185F" w:rsidRDefault="009D7ED0" w:rsidP="009126A0">
            <w:pPr>
              <w:jc w:val="center"/>
              <w:rPr>
                <w:rFonts w:ascii="FangSong" w:eastAsia="FangSong" w:hAnsi="FangSong" w:cs="仿宋"/>
                <w:szCs w:val="21"/>
              </w:rPr>
            </w:pPr>
          </w:p>
        </w:tc>
        <w:tc>
          <w:tcPr>
            <w:tcW w:w="606" w:type="pct"/>
            <w:vAlign w:val="center"/>
          </w:tcPr>
          <w:p w14:paraId="50D48249" w14:textId="0118EA87" w:rsidR="009126A0" w:rsidRPr="001F185F" w:rsidRDefault="009126A0" w:rsidP="009126A0">
            <w:pPr>
              <w:jc w:val="center"/>
              <w:rPr>
                <w:rFonts w:ascii="FangSong" w:eastAsia="FangSong" w:hAnsi="FangSong" w:cs="仿宋" w:hint="eastAsia"/>
                <w:szCs w:val="21"/>
              </w:rPr>
            </w:pPr>
          </w:p>
        </w:tc>
        <w:tc>
          <w:tcPr>
            <w:tcW w:w="1212" w:type="pct"/>
            <w:vAlign w:val="center"/>
          </w:tcPr>
          <w:p w14:paraId="602E36B6" w14:textId="5F18ADE8"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东川街市（建设二马路）</w:t>
            </w:r>
          </w:p>
          <w:p w14:paraId="67F5BAF5" w14:textId="77777777"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豪贤肉菜市场（豪贤路）</w:t>
            </w:r>
          </w:p>
          <w:p w14:paraId="591236D9" w14:textId="77777777"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龟岗市场（龟岗大马路）</w:t>
            </w:r>
          </w:p>
          <w:p w14:paraId="2ACF079D" w14:textId="77777777" w:rsidR="009D7ED0" w:rsidRPr="001F185F" w:rsidRDefault="009D7ED0" w:rsidP="009126A0">
            <w:pPr>
              <w:autoSpaceDE w:val="0"/>
              <w:autoSpaceDN w:val="0"/>
              <w:jc w:val="center"/>
              <w:rPr>
                <w:rFonts w:ascii="FangSong" w:eastAsia="FangSong" w:hAnsi="FangSong" w:cs="仿宋"/>
                <w:szCs w:val="21"/>
              </w:rPr>
            </w:pPr>
            <w:r w:rsidRPr="001F185F">
              <w:rPr>
                <w:rFonts w:ascii="FangSong" w:eastAsia="FangSong" w:hAnsi="FangSong" w:cs="仿宋" w:hint="eastAsia"/>
                <w:szCs w:val="21"/>
              </w:rPr>
              <w:t>三角市菜市场（东华西路）</w:t>
            </w:r>
          </w:p>
        </w:tc>
        <w:tc>
          <w:tcPr>
            <w:tcW w:w="606" w:type="pct"/>
            <w:vAlign w:val="center"/>
          </w:tcPr>
          <w:p w14:paraId="6363D146" w14:textId="77777777" w:rsidR="009D7ED0" w:rsidRPr="001F185F" w:rsidRDefault="009D7ED0" w:rsidP="009126A0">
            <w:pPr>
              <w:jc w:val="center"/>
              <w:rPr>
                <w:rFonts w:ascii="FangSong" w:eastAsia="FangSong" w:hAnsi="FangSong" w:cs="仿宋"/>
                <w:szCs w:val="21"/>
              </w:rPr>
            </w:pPr>
          </w:p>
        </w:tc>
        <w:tc>
          <w:tcPr>
            <w:tcW w:w="606" w:type="pct"/>
            <w:vAlign w:val="center"/>
          </w:tcPr>
          <w:p w14:paraId="55D170DE" w14:textId="77777777" w:rsidR="009D7ED0" w:rsidRPr="001F185F" w:rsidRDefault="009D7ED0" w:rsidP="009126A0">
            <w:pPr>
              <w:jc w:val="center"/>
              <w:rPr>
                <w:rFonts w:ascii="FangSong" w:eastAsia="FangSong" w:hAnsi="FangSong" w:cs="仿宋"/>
                <w:szCs w:val="21"/>
              </w:rPr>
            </w:pPr>
          </w:p>
        </w:tc>
      </w:tr>
      <w:tr w:rsidR="009D7ED0" w:rsidRPr="001F185F" w14:paraId="3896A66C" w14:textId="5EE3D800" w:rsidTr="009126A0">
        <w:trPr>
          <w:trHeight w:val="196"/>
          <w:jc w:val="center"/>
        </w:trPr>
        <w:tc>
          <w:tcPr>
            <w:tcW w:w="472" w:type="pct"/>
            <w:vAlign w:val="center"/>
          </w:tcPr>
          <w:p w14:paraId="14E84891" w14:textId="77777777" w:rsidR="009D7ED0" w:rsidRPr="001F185F" w:rsidRDefault="009D7ED0" w:rsidP="00FC4446">
            <w:pPr>
              <w:autoSpaceDE w:val="0"/>
              <w:autoSpaceDN w:val="0"/>
              <w:jc w:val="center"/>
              <w:rPr>
                <w:rFonts w:ascii="FangSong" w:eastAsia="FangSong" w:hAnsi="FangSong" w:cs="仿宋"/>
                <w:b/>
                <w:bCs/>
                <w:szCs w:val="21"/>
              </w:rPr>
            </w:pPr>
            <w:r w:rsidRPr="001F185F">
              <w:rPr>
                <w:rFonts w:ascii="FangSong" w:eastAsia="FangSong" w:hAnsi="FangSong" w:cs="仿宋" w:hint="eastAsia"/>
                <w:b/>
                <w:bCs/>
                <w:szCs w:val="21"/>
              </w:rPr>
              <w:t>水果类</w:t>
            </w:r>
          </w:p>
        </w:tc>
        <w:tc>
          <w:tcPr>
            <w:tcW w:w="865" w:type="pct"/>
            <w:vAlign w:val="center"/>
          </w:tcPr>
          <w:p w14:paraId="2E349EFF" w14:textId="77777777" w:rsidR="009D7ED0" w:rsidRPr="001F185F" w:rsidRDefault="009D7ED0" w:rsidP="00FC4446">
            <w:pPr>
              <w:autoSpaceDE w:val="0"/>
              <w:autoSpaceDN w:val="0"/>
              <w:jc w:val="center"/>
              <w:rPr>
                <w:rFonts w:ascii="FangSong" w:eastAsia="FangSong" w:hAnsi="FangSong" w:cs="仿宋"/>
                <w:szCs w:val="21"/>
              </w:rPr>
            </w:pPr>
            <w:r w:rsidRPr="001F185F">
              <w:rPr>
                <w:rFonts w:ascii="FangSong" w:eastAsia="FangSong" w:hAnsi="FangSong" w:cs="仿宋" w:hint="eastAsia"/>
                <w:szCs w:val="21"/>
              </w:rPr>
              <w:t>“广州市全市菜篮子平均零售价”和“瓜果和牛奶”上月5日、15日、25日公布的“零售价”的平均价</w:t>
            </w:r>
          </w:p>
        </w:tc>
        <w:tc>
          <w:tcPr>
            <w:tcW w:w="633" w:type="pct"/>
            <w:vAlign w:val="center"/>
          </w:tcPr>
          <w:p w14:paraId="33C45895" w14:textId="77777777" w:rsidR="009D7ED0" w:rsidRPr="001F185F" w:rsidRDefault="009D7ED0" w:rsidP="009126A0">
            <w:pPr>
              <w:jc w:val="center"/>
              <w:rPr>
                <w:rFonts w:ascii="FangSong" w:eastAsia="FangSong" w:hAnsi="FangSong" w:cs="仿宋"/>
                <w:szCs w:val="21"/>
              </w:rPr>
            </w:pPr>
          </w:p>
        </w:tc>
        <w:tc>
          <w:tcPr>
            <w:tcW w:w="606" w:type="pct"/>
            <w:vAlign w:val="center"/>
          </w:tcPr>
          <w:p w14:paraId="52B498EC" w14:textId="77777777" w:rsidR="009D7ED0" w:rsidRPr="001F185F" w:rsidRDefault="009D7ED0" w:rsidP="009126A0">
            <w:pPr>
              <w:jc w:val="center"/>
              <w:rPr>
                <w:rFonts w:ascii="FangSong" w:eastAsia="FangSong" w:hAnsi="FangSong" w:cs="仿宋"/>
                <w:szCs w:val="21"/>
              </w:rPr>
            </w:pPr>
          </w:p>
        </w:tc>
        <w:tc>
          <w:tcPr>
            <w:tcW w:w="1212" w:type="pct"/>
            <w:vAlign w:val="center"/>
          </w:tcPr>
          <w:p w14:paraId="0E870B99" w14:textId="0396FEAB"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东川街市（建设二马路）</w:t>
            </w:r>
          </w:p>
          <w:p w14:paraId="6DD49A49" w14:textId="77777777"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豪贤肉菜市场（豪贤路）</w:t>
            </w:r>
          </w:p>
          <w:p w14:paraId="102FDB15" w14:textId="77777777"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龟岗市场（龟岗大马路）</w:t>
            </w:r>
          </w:p>
          <w:p w14:paraId="16F47226" w14:textId="77777777" w:rsidR="009D7ED0" w:rsidRPr="001F185F" w:rsidRDefault="009D7ED0" w:rsidP="009126A0">
            <w:pPr>
              <w:jc w:val="center"/>
              <w:rPr>
                <w:rFonts w:ascii="FangSong" w:eastAsia="FangSong" w:hAnsi="FangSong" w:cs="仿宋"/>
                <w:szCs w:val="21"/>
              </w:rPr>
            </w:pPr>
            <w:r w:rsidRPr="001F185F">
              <w:rPr>
                <w:rFonts w:ascii="FangSong" w:eastAsia="FangSong" w:hAnsi="FangSong" w:cs="仿宋" w:hint="eastAsia"/>
                <w:szCs w:val="21"/>
              </w:rPr>
              <w:t>三角市菜市场（东华西路）</w:t>
            </w:r>
          </w:p>
        </w:tc>
        <w:tc>
          <w:tcPr>
            <w:tcW w:w="606" w:type="pct"/>
            <w:vAlign w:val="center"/>
          </w:tcPr>
          <w:p w14:paraId="3ACBD427" w14:textId="77777777" w:rsidR="009D7ED0" w:rsidRPr="001F185F" w:rsidRDefault="009D7ED0" w:rsidP="009126A0">
            <w:pPr>
              <w:jc w:val="center"/>
              <w:rPr>
                <w:rFonts w:ascii="FangSong" w:eastAsia="FangSong" w:hAnsi="FangSong" w:cs="仿宋"/>
                <w:szCs w:val="21"/>
              </w:rPr>
            </w:pPr>
          </w:p>
        </w:tc>
        <w:tc>
          <w:tcPr>
            <w:tcW w:w="606" w:type="pct"/>
            <w:vAlign w:val="center"/>
          </w:tcPr>
          <w:p w14:paraId="65E272A8" w14:textId="77777777" w:rsidR="009D7ED0" w:rsidRPr="001F185F" w:rsidRDefault="009D7ED0" w:rsidP="009126A0">
            <w:pPr>
              <w:jc w:val="center"/>
              <w:rPr>
                <w:rFonts w:ascii="FangSong" w:eastAsia="FangSong" w:hAnsi="FangSong" w:cs="仿宋"/>
                <w:szCs w:val="21"/>
              </w:rPr>
            </w:pPr>
          </w:p>
        </w:tc>
      </w:tr>
    </w:tbl>
    <w:p w14:paraId="17C8454A" w14:textId="1A042BDF" w:rsidR="00EA44B6" w:rsidRPr="00E00AAB" w:rsidRDefault="00E00AAB" w:rsidP="00CD2123">
      <w:pPr>
        <w:adjustRightInd w:val="0"/>
        <w:snapToGrid w:val="0"/>
        <w:spacing w:line="600" w:lineRule="auto"/>
        <w:rPr>
          <w:rFonts w:ascii="FangSong" w:eastAsia="FangSong" w:hAnsi="FangSong" w:cs="仿宋"/>
          <w:sz w:val="18"/>
          <w:szCs w:val="18"/>
        </w:rPr>
      </w:pPr>
      <w:r w:rsidRPr="00E00AAB">
        <w:rPr>
          <w:rFonts w:ascii="FangSong" w:eastAsia="FangSong" w:hAnsi="FangSong" w:cs="仿宋" w:hint="eastAsia"/>
          <w:sz w:val="18"/>
          <w:szCs w:val="18"/>
        </w:rPr>
        <w:t>注：各项</w:t>
      </w:r>
      <w:proofErr w:type="gramStart"/>
      <w:r w:rsidRPr="00E00AAB">
        <w:rPr>
          <w:rFonts w:ascii="FangSong" w:eastAsia="FangSong" w:hAnsi="FangSong" w:cs="仿宋" w:hint="eastAsia"/>
          <w:sz w:val="18"/>
          <w:szCs w:val="18"/>
        </w:rPr>
        <w:t>下浮率</w:t>
      </w:r>
      <w:proofErr w:type="gramEnd"/>
      <w:r w:rsidRPr="00E00AAB">
        <w:rPr>
          <w:rFonts w:ascii="FangSong" w:eastAsia="FangSong" w:hAnsi="FangSong" w:cs="仿宋" w:hint="eastAsia"/>
          <w:sz w:val="18"/>
          <w:szCs w:val="18"/>
        </w:rPr>
        <w:t>须0＜下浮率＜100%。</w:t>
      </w:r>
    </w:p>
    <w:p w14:paraId="6B217F73" w14:textId="2DBDE588" w:rsidR="00FC4446" w:rsidRDefault="00026D49" w:rsidP="00FC4446">
      <w:pPr>
        <w:adjustRightInd w:val="0"/>
        <w:snapToGrid w:val="0"/>
        <w:spacing w:line="360" w:lineRule="auto"/>
        <w:rPr>
          <w:rFonts w:ascii="FangSong" w:eastAsia="FangSong" w:hAnsi="FangSong"/>
          <w:color w:val="000000"/>
          <w:sz w:val="24"/>
          <w:u w:val="single"/>
        </w:rPr>
      </w:pPr>
      <w:r w:rsidRPr="002336E6">
        <w:rPr>
          <w:rFonts w:ascii="FangSong" w:eastAsia="FangSong" w:hAnsi="FangSong" w:hint="eastAsia"/>
          <w:color w:val="000000"/>
          <w:sz w:val="24"/>
        </w:rPr>
        <w:t>公司</w:t>
      </w:r>
      <w:r w:rsidR="00CD2123" w:rsidRPr="002336E6">
        <w:rPr>
          <w:rFonts w:ascii="FangSong" w:eastAsia="FangSong" w:hAnsi="FangSong" w:hint="eastAsia"/>
          <w:color w:val="000000"/>
          <w:sz w:val="24"/>
        </w:rPr>
        <w:t>名称（加盖公章）：</w:t>
      </w:r>
      <w:r w:rsidR="00CD2123" w:rsidRPr="002336E6">
        <w:rPr>
          <w:rFonts w:ascii="FangSong" w:eastAsia="FangSong" w:hAnsi="FangSong" w:hint="eastAsia"/>
          <w:color w:val="000000"/>
          <w:sz w:val="24"/>
          <w:u w:val="single"/>
        </w:rPr>
        <w:t xml:space="preserve"> </w:t>
      </w:r>
      <w:r w:rsidR="00FC4446">
        <w:rPr>
          <w:rFonts w:ascii="FangSong" w:eastAsia="FangSong" w:hAnsi="FangSong"/>
          <w:color w:val="000000"/>
          <w:sz w:val="24"/>
          <w:u w:val="single"/>
        </w:rPr>
        <w:t xml:space="preserve">                          </w:t>
      </w:r>
    </w:p>
    <w:p w14:paraId="75EC1151" w14:textId="1B74CE78" w:rsidR="00CD2123" w:rsidRPr="00FC4446" w:rsidRDefault="00CD2123" w:rsidP="00FC4446">
      <w:pPr>
        <w:adjustRightInd w:val="0"/>
        <w:snapToGrid w:val="0"/>
        <w:spacing w:line="360" w:lineRule="auto"/>
        <w:rPr>
          <w:rFonts w:ascii="FangSong" w:eastAsia="FangSong" w:hAnsi="FangSong"/>
          <w:color w:val="000000"/>
          <w:sz w:val="24"/>
          <w:u w:val="single"/>
        </w:rPr>
      </w:pPr>
      <w:r w:rsidRPr="002336E6">
        <w:rPr>
          <w:rFonts w:ascii="FangSong" w:eastAsia="FangSong" w:hAnsi="FangSong" w:hint="eastAsia"/>
          <w:color w:val="000000"/>
          <w:sz w:val="24"/>
        </w:rPr>
        <w:t>日期：   年   月    日</w:t>
      </w:r>
    </w:p>
    <w:p w14:paraId="7C6151C0" w14:textId="3A8D4077" w:rsidR="00026D49" w:rsidRPr="002336E6" w:rsidRDefault="00026D49" w:rsidP="00FC4446">
      <w:pPr>
        <w:spacing w:line="360" w:lineRule="auto"/>
        <w:rPr>
          <w:rFonts w:ascii="FangSong" w:eastAsia="FangSong" w:hAnsi="FangSong"/>
          <w:color w:val="000000"/>
          <w:sz w:val="24"/>
        </w:rPr>
      </w:pPr>
      <w:r w:rsidRPr="002336E6">
        <w:rPr>
          <w:rFonts w:ascii="FangSong" w:eastAsia="FangSong" w:hAnsi="FangSong" w:hint="eastAsia"/>
          <w:color w:val="000000"/>
          <w:sz w:val="24"/>
        </w:rPr>
        <w:t>联系人：</w:t>
      </w:r>
      <w:r w:rsidR="00FC4446">
        <w:rPr>
          <w:rFonts w:ascii="FangSong" w:eastAsia="FangSong" w:hAnsi="FangSong"/>
          <w:color w:val="000000"/>
          <w:sz w:val="24"/>
          <w:u w:val="single"/>
        </w:rPr>
        <w:t xml:space="preserve">                         </w:t>
      </w:r>
    </w:p>
    <w:p w14:paraId="1A08AC76" w14:textId="57EEF25D" w:rsidR="0001414A" w:rsidRPr="00FC4446" w:rsidRDefault="00026D49" w:rsidP="00FC4446">
      <w:pPr>
        <w:spacing w:line="360" w:lineRule="auto"/>
        <w:rPr>
          <w:rFonts w:ascii="FangSong" w:eastAsia="FangSong" w:hAnsi="FangSong"/>
          <w:color w:val="000000"/>
          <w:sz w:val="24"/>
        </w:rPr>
      </w:pPr>
      <w:r w:rsidRPr="002336E6">
        <w:rPr>
          <w:rFonts w:ascii="FangSong" w:eastAsia="FangSong" w:hAnsi="FangSong" w:hint="eastAsia"/>
          <w:color w:val="000000"/>
          <w:sz w:val="24"/>
        </w:rPr>
        <w:t>联系电话：</w:t>
      </w:r>
      <w:r w:rsidR="00FC4446">
        <w:rPr>
          <w:rFonts w:ascii="FangSong" w:eastAsia="FangSong" w:hAnsi="FangSong"/>
          <w:color w:val="000000"/>
          <w:sz w:val="24"/>
          <w:u w:val="single"/>
        </w:rPr>
        <w:t xml:space="preserve">                       </w:t>
      </w:r>
    </w:p>
    <w:sectPr w:rsidR="0001414A" w:rsidRPr="00FC4446" w:rsidSect="00FC444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56AC" w14:textId="77777777" w:rsidR="000F28A9" w:rsidRDefault="000F28A9" w:rsidP="00CD2123">
      <w:r>
        <w:separator/>
      </w:r>
    </w:p>
  </w:endnote>
  <w:endnote w:type="continuationSeparator" w:id="0">
    <w:p w14:paraId="5A8542FB" w14:textId="77777777" w:rsidR="000F28A9" w:rsidRDefault="000F28A9" w:rsidP="00CD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ngSong">
    <w:altName w:val="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8B46" w14:textId="77777777" w:rsidR="000F28A9" w:rsidRDefault="000F28A9" w:rsidP="00CD2123">
      <w:r>
        <w:separator/>
      </w:r>
    </w:p>
  </w:footnote>
  <w:footnote w:type="continuationSeparator" w:id="0">
    <w:p w14:paraId="5AED0D04" w14:textId="77777777" w:rsidR="000F28A9" w:rsidRDefault="000F28A9" w:rsidP="00CD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0017"/>
    <w:multiLevelType w:val="hybridMultilevel"/>
    <w:tmpl w:val="58B69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0AC"/>
    <w:rsid w:val="0001414A"/>
    <w:rsid w:val="00026D49"/>
    <w:rsid w:val="000F28A9"/>
    <w:rsid w:val="00154E95"/>
    <w:rsid w:val="001921DB"/>
    <w:rsid w:val="002336E6"/>
    <w:rsid w:val="0023643A"/>
    <w:rsid w:val="003B0CCE"/>
    <w:rsid w:val="0046094C"/>
    <w:rsid w:val="00496037"/>
    <w:rsid w:val="0067637C"/>
    <w:rsid w:val="008B3588"/>
    <w:rsid w:val="009126A0"/>
    <w:rsid w:val="0093159B"/>
    <w:rsid w:val="009D7ED0"/>
    <w:rsid w:val="00CB30AC"/>
    <w:rsid w:val="00CD2123"/>
    <w:rsid w:val="00CD6A32"/>
    <w:rsid w:val="00D24607"/>
    <w:rsid w:val="00E00AAB"/>
    <w:rsid w:val="00E17643"/>
    <w:rsid w:val="00E70FB3"/>
    <w:rsid w:val="00EA44B6"/>
    <w:rsid w:val="00F5043C"/>
    <w:rsid w:val="00F61AA4"/>
    <w:rsid w:val="00FC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A0EA3"/>
  <w15:docId w15:val="{E23C71E7-5174-4CAE-A201-AB15D0EA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D2123"/>
    <w:rPr>
      <w:sz w:val="18"/>
      <w:szCs w:val="18"/>
    </w:rPr>
  </w:style>
  <w:style w:type="paragraph" w:styleId="a5">
    <w:name w:val="footer"/>
    <w:basedOn w:val="a"/>
    <w:link w:val="a6"/>
    <w:uiPriority w:val="99"/>
    <w:unhideWhenUsed/>
    <w:rsid w:val="00CD21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D2123"/>
    <w:rPr>
      <w:sz w:val="18"/>
      <w:szCs w:val="18"/>
    </w:rPr>
  </w:style>
  <w:style w:type="paragraph" w:styleId="a7">
    <w:name w:val="List Paragraph"/>
    <w:basedOn w:val="a"/>
    <w:uiPriority w:val="34"/>
    <w:qFormat/>
    <w:rsid w:val="00026D49"/>
    <w:pPr>
      <w:ind w:firstLineChars="200" w:firstLine="420"/>
    </w:pPr>
  </w:style>
  <w:style w:type="paragraph" w:styleId="a8">
    <w:name w:val="Plain Text"/>
    <w:basedOn w:val="a"/>
    <w:link w:val="a9"/>
    <w:qFormat/>
    <w:rsid w:val="00D24607"/>
    <w:rPr>
      <w:rFonts w:ascii="宋体" w:hAnsi="Courier New"/>
      <w:kern w:val="0"/>
      <w:sz w:val="20"/>
      <w:szCs w:val="21"/>
    </w:rPr>
  </w:style>
  <w:style w:type="character" w:customStyle="1" w:styleId="a9">
    <w:name w:val="纯文本 字符"/>
    <w:basedOn w:val="a0"/>
    <w:link w:val="a8"/>
    <w:rsid w:val="00D24607"/>
    <w:rPr>
      <w:rFonts w:ascii="宋体" w:eastAsia="宋体" w:hAnsi="Courier New" w:cs="Times New Roman"/>
      <w:kern w:val="0"/>
      <w:sz w:val="20"/>
      <w:szCs w:val="21"/>
    </w:rPr>
  </w:style>
  <w:style w:type="paragraph" w:styleId="aa">
    <w:name w:val="Normal (Web)"/>
    <w:basedOn w:val="a"/>
    <w:autoRedefine/>
    <w:qFormat/>
    <w:rsid w:val="001921DB"/>
    <w:pPr>
      <w:tabs>
        <w:tab w:val="left" w:pos="540"/>
      </w:tabs>
      <w:spacing w:line="276" w:lineRule="auto"/>
      <w:jc w:val="left"/>
    </w:pPr>
    <w:rPr>
      <w:rFonts w:ascii="FangSong" w:eastAsia="FangSong" w:hAnsi="FangSong"/>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147</Words>
  <Characters>844</Characters>
  <Application>Microsoft Office Word</Application>
  <DocSecurity>0</DocSecurity>
  <Lines>7</Lines>
  <Paragraphs>1</Paragraphs>
  <ScaleCrop>false</ScaleCrop>
  <Company>P R C</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Stephen</cp:lastModifiedBy>
  <cp:revision>13</cp:revision>
  <dcterms:created xsi:type="dcterms:W3CDTF">2023-04-06T02:09:00Z</dcterms:created>
  <dcterms:modified xsi:type="dcterms:W3CDTF">2024-07-09T09:11:00Z</dcterms:modified>
</cp:coreProperties>
</file>